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16" w:rsidRPr="007A3432" w:rsidRDefault="007F2416" w:rsidP="007F2416">
      <w:pPr>
        <w:keepNext/>
        <w:keepLines/>
        <w:suppressAutoHyphens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ar-SA"/>
        </w:rPr>
      </w:pPr>
      <w:bookmarkStart w:id="0" w:name="_GoBack"/>
      <w:bookmarkEnd w:id="0"/>
    </w:p>
    <w:p w:rsidR="007F2416" w:rsidRPr="007A3432" w:rsidRDefault="007F2416" w:rsidP="007F2416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8"/>
          <w:lang w:eastAsia="ar-SA"/>
        </w:rPr>
      </w:pPr>
      <w:r w:rsidRPr="007A343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-342900</wp:posOffset>
            </wp:positionV>
            <wp:extent cx="1139825" cy="1714500"/>
            <wp:effectExtent l="19050" t="0" r="3175" b="0"/>
            <wp:wrapSquare wrapText="bothSides"/>
            <wp:docPr id="2" name="Рисунок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3432">
        <w:rPr>
          <w:rFonts w:ascii="Times New Roman" w:eastAsia="Times New Roman" w:hAnsi="Times New Roman" w:cs="Times New Roman"/>
          <w:b/>
          <w:spacing w:val="60"/>
          <w:sz w:val="40"/>
          <w:szCs w:val="28"/>
          <w:lang w:eastAsia="ar-SA"/>
        </w:rPr>
        <w:t>ПРЕДСТАВИТЕЛЬНОЕ СОБРАНИЕ</w:t>
      </w:r>
    </w:p>
    <w:p w:rsidR="007F2416" w:rsidRPr="007A3432" w:rsidRDefault="007F2416" w:rsidP="007F2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7A3432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КУРСКОГО РАЙОНА КУРСКОЙ ОБЛАСТИ</w:t>
      </w:r>
    </w:p>
    <w:p w:rsidR="007F2416" w:rsidRPr="007A3432" w:rsidRDefault="007F2416" w:rsidP="007F2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7F2416" w:rsidRPr="007A3432" w:rsidRDefault="007F2416" w:rsidP="007F2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7A3432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РЕШЕНИЕ</w:t>
      </w:r>
    </w:p>
    <w:p w:rsidR="007F2416" w:rsidRPr="007A3432" w:rsidRDefault="007F2416" w:rsidP="007F2416">
      <w:pPr>
        <w:keepNext/>
        <w:keepLines/>
        <w:suppressAutoHyphen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34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Pr="007A3432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13 ноября </w:t>
      </w:r>
      <w:r w:rsidRPr="007A34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2014г.</w:t>
      </w:r>
      <w:r w:rsidRPr="007A34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7A34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7A34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г.Курск</w:t>
      </w:r>
      <w:r w:rsidRPr="007A34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7A34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7A34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7A34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№ 3-3-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</w:t>
      </w:r>
    </w:p>
    <w:p w:rsidR="007F2416" w:rsidRPr="00000EAB" w:rsidRDefault="007F2416" w:rsidP="007F241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564" w:rsidRPr="00000EAB" w:rsidRDefault="0037350E" w:rsidP="0037350E">
      <w:pPr>
        <w:tabs>
          <w:tab w:val="left" w:pos="6804"/>
        </w:tabs>
        <w:spacing w:line="240" w:lineRule="auto"/>
        <w:ind w:right="2692"/>
        <w:outlineLvl w:val="0"/>
        <w:rPr>
          <w:rFonts w:ascii="Times New Roman" w:hAnsi="Times New Roman"/>
          <w:sz w:val="28"/>
          <w:szCs w:val="28"/>
        </w:rPr>
      </w:pPr>
      <w:r w:rsidRPr="00000EAB">
        <w:rPr>
          <w:rFonts w:ascii="Times New Roman" w:hAnsi="Times New Roman"/>
          <w:sz w:val="28"/>
          <w:szCs w:val="28"/>
        </w:rPr>
        <w:t>Об утверждении Порядка предоставления иных межбюджетных трансфертов из бюджета Курского района Курской области бюджетам поселений, входящих в состав Курского района Курской области</w:t>
      </w:r>
    </w:p>
    <w:p w:rsidR="00BF0564" w:rsidRPr="00000EAB" w:rsidRDefault="00BF0564" w:rsidP="0037350E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00EAB">
        <w:rPr>
          <w:rFonts w:ascii="Times New Roman" w:hAnsi="Times New Roman"/>
          <w:sz w:val="28"/>
          <w:szCs w:val="28"/>
        </w:rPr>
        <w:t>В соответствии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с Уставом муниципального района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«Курский район» Курской области, статьями 9, 142.4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Бюджетного кодекса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Российской Федерации, Законом Курской области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от 29.12.2005 г. №117-ЗКО «О порядке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и условиях предоставления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межбюджетных трансфертов из областного бюджета и местных бюджетов», Представительное Собрание Курского района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Курской области, РЕШИЛО:</w:t>
      </w:r>
    </w:p>
    <w:p w:rsidR="00BF0564" w:rsidRPr="007F2416" w:rsidRDefault="00BF0564" w:rsidP="007F2416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00EAB">
        <w:rPr>
          <w:rFonts w:ascii="Times New Roman" w:hAnsi="Times New Roman"/>
          <w:sz w:val="28"/>
          <w:szCs w:val="28"/>
        </w:rPr>
        <w:t>1.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Утвердить прилагаемый Порядок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предоставления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иных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межбюджетных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трансфертов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из бюджета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бюджетам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поселений, входящих в состав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Курского района Курской области.</w:t>
      </w:r>
    </w:p>
    <w:p w:rsidR="00BF0564" w:rsidRPr="00000EAB" w:rsidRDefault="00BF0564" w:rsidP="007F2416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00EAB">
        <w:rPr>
          <w:rFonts w:ascii="Times New Roman" w:hAnsi="Times New Roman"/>
          <w:sz w:val="28"/>
          <w:szCs w:val="28"/>
        </w:rPr>
        <w:t>2. Настоящее решение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вступает в силу со дня его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BF0564" w:rsidRPr="00000EAB" w:rsidRDefault="00BF0564" w:rsidP="0037350E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7350E" w:rsidRPr="00000EAB" w:rsidRDefault="0037350E" w:rsidP="0037350E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0564" w:rsidRPr="00000EAB" w:rsidRDefault="00BF0564" w:rsidP="0037350E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000EAB">
        <w:rPr>
          <w:rFonts w:ascii="Times New Roman" w:hAnsi="Times New Roman"/>
          <w:sz w:val="28"/>
          <w:szCs w:val="28"/>
        </w:rPr>
        <w:t>Глава Курского района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="0037350E" w:rsidRPr="00000EAB">
        <w:rPr>
          <w:rFonts w:ascii="Times New Roman" w:hAnsi="Times New Roman"/>
          <w:sz w:val="28"/>
          <w:szCs w:val="28"/>
        </w:rPr>
        <w:tab/>
      </w:r>
      <w:r w:rsidR="0037350E" w:rsidRPr="00000EAB">
        <w:rPr>
          <w:rFonts w:ascii="Times New Roman" w:hAnsi="Times New Roman"/>
          <w:sz w:val="28"/>
          <w:szCs w:val="28"/>
        </w:rPr>
        <w:tab/>
      </w:r>
      <w:r w:rsidR="0037350E" w:rsidRPr="00000EAB">
        <w:rPr>
          <w:rFonts w:ascii="Times New Roman" w:hAnsi="Times New Roman"/>
          <w:sz w:val="28"/>
          <w:szCs w:val="28"/>
        </w:rPr>
        <w:tab/>
      </w:r>
      <w:r w:rsidR="0037350E" w:rsidRPr="00000EAB">
        <w:rPr>
          <w:rFonts w:ascii="Times New Roman" w:hAnsi="Times New Roman"/>
          <w:sz w:val="28"/>
          <w:szCs w:val="28"/>
        </w:rPr>
        <w:tab/>
      </w:r>
      <w:r w:rsidR="0037350E" w:rsidRPr="00000EAB">
        <w:rPr>
          <w:rFonts w:ascii="Times New Roman" w:hAnsi="Times New Roman"/>
          <w:sz w:val="28"/>
          <w:szCs w:val="28"/>
        </w:rPr>
        <w:tab/>
      </w:r>
      <w:r w:rsidR="0037350E" w:rsidRPr="00000EAB">
        <w:rPr>
          <w:rFonts w:ascii="Times New Roman" w:hAnsi="Times New Roman"/>
          <w:sz w:val="28"/>
          <w:szCs w:val="28"/>
        </w:rPr>
        <w:tab/>
        <w:t xml:space="preserve">        </w:t>
      </w:r>
      <w:r w:rsidRPr="00000EAB">
        <w:rPr>
          <w:rFonts w:ascii="Times New Roman" w:hAnsi="Times New Roman"/>
          <w:sz w:val="28"/>
          <w:szCs w:val="28"/>
        </w:rPr>
        <w:t>В.М.Рыжиков</w:t>
      </w:r>
    </w:p>
    <w:p w:rsidR="0037350E" w:rsidRPr="00000EAB" w:rsidRDefault="0037350E">
      <w:pPr>
        <w:rPr>
          <w:rStyle w:val="spfo1"/>
          <w:rFonts w:ascii="Arial" w:hAnsi="Arial" w:cs="Arial"/>
          <w:b/>
          <w:bCs/>
          <w:sz w:val="20"/>
          <w:szCs w:val="20"/>
        </w:rPr>
      </w:pPr>
      <w:r w:rsidRPr="00000EAB">
        <w:rPr>
          <w:rStyle w:val="spfo1"/>
          <w:rFonts w:ascii="Arial" w:hAnsi="Arial" w:cs="Arial"/>
          <w:b/>
          <w:bCs/>
          <w:sz w:val="20"/>
          <w:szCs w:val="20"/>
        </w:rPr>
        <w:br w:type="page"/>
      </w:r>
    </w:p>
    <w:p w:rsidR="0037350E" w:rsidRPr="00000EAB" w:rsidRDefault="0037350E" w:rsidP="0037350E">
      <w:pPr>
        <w:spacing w:after="0" w:line="240" w:lineRule="auto"/>
        <w:ind w:left="396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350E" w:rsidRPr="00000EAB" w:rsidRDefault="0037350E" w:rsidP="0037350E">
      <w:pPr>
        <w:spacing w:after="0" w:line="240" w:lineRule="auto"/>
        <w:ind w:left="396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к решению Представительного Собрания Курского района Курской области</w:t>
      </w:r>
    </w:p>
    <w:p w:rsidR="00BF0564" w:rsidRPr="00000EAB" w:rsidRDefault="0037350E" w:rsidP="0037350E">
      <w:pPr>
        <w:spacing w:after="0" w:line="240" w:lineRule="auto"/>
        <w:ind w:left="3969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000EAB">
        <w:rPr>
          <w:rFonts w:ascii="Times New Roman" w:hAnsi="Times New Roman" w:cs="Times New Roman"/>
          <w:sz w:val="28"/>
          <w:szCs w:val="28"/>
        </w:rPr>
        <w:t xml:space="preserve">от </w:t>
      </w:r>
      <w:r w:rsidR="007A3432" w:rsidRPr="00000EAB">
        <w:rPr>
          <w:rFonts w:ascii="Times New Roman" w:hAnsi="Times New Roman" w:cs="Times New Roman"/>
          <w:sz w:val="28"/>
          <w:szCs w:val="28"/>
        </w:rPr>
        <w:t>13 ноября</w:t>
      </w:r>
      <w:r w:rsidRPr="00000EAB">
        <w:rPr>
          <w:rFonts w:ascii="Times New Roman" w:hAnsi="Times New Roman" w:cs="Times New Roman"/>
          <w:sz w:val="28"/>
          <w:szCs w:val="28"/>
        </w:rPr>
        <w:t xml:space="preserve"> 2014 г. №</w:t>
      </w:r>
      <w:r w:rsidR="007A3432" w:rsidRPr="00000EAB">
        <w:rPr>
          <w:rFonts w:ascii="Times New Roman" w:hAnsi="Times New Roman" w:cs="Times New Roman"/>
          <w:sz w:val="28"/>
          <w:szCs w:val="28"/>
        </w:rPr>
        <w:t xml:space="preserve"> 3-3-11</w:t>
      </w:r>
    </w:p>
    <w:p w:rsidR="0037350E" w:rsidRPr="00000EAB" w:rsidRDefault="0037350E" w:rsidP="00BF0564">
      <w:pPr>
        <w:spacing w:after="0"/>
        <w:jc w:val="center"/>
        <w:textAlignment w:val="baseline"/>
        <w:rPr>
          <w:rStyle w:val="spfo1"/>
          <w:rFonts w:ascii="Times New Roman" w:hAnsi="Times New Roman" w:cs="Times New Roman"/>
          <w:b/>
          <w:bCs/>
          <w:sz w:val="28"/>
          <w:szCs w:val="28"/>
        </w:rPr>
      </w:pPr>
    </w:p>
    <w:p w:rsidR="0037350E" w:rsidRPr="00000EAB" w:rsidRDefault="0037350E" w:rsidP="00BF0564">
      <w:pPr>
        <w:spacing w:after="0"/>
        <w:jc w:val="center"/>
        <w:textAlignment w:val="baseline"/>
        <w:rPr>
          <w:rStyle w:val="spfo1"/>
          <w:rFonts w:ascii="Times New Roman" w:hAnsi="Times New Roman" w:cs="Times New Roman"/>
          <w:b/>
          <w:bCs/>
          <w:sz w:val="28"/>
          <w:szCs w:val="28"/>
        </w:rPr>
      </w:pPr>
    </w:p>
    <w:p w:rsidR="00BF0564" w:rsidRPr="00000EAB" w:rsidRDefault="00BF0564" w:rsidP="00BF0564">
      <w:pPr>
        <w:spacing w:after="0"/>
        <w:jc w:val="center"/>
        <w:textAlignment w:val="baseline"/>
        <w:rPr>
          <w:rStyle w:val="spfo1"/>
          <w:b/>
          <w:bCs/>
          <w:sz w:val="28"/>
          <w:szCs w:val="28"/>
        </w:rPr>
      </w:pPr>
      <w:r w:rsidRPr="00000EAB">
        <w:rPr>
          <w:rStyle w:val="spfo1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F0564" w:rsidRPr="00000EAB" w:rsidRDefault="00BF0564" w:rsidP="00BF0564">
      <w:pPr>
        <w:spacing w:after="0"/>
        <w:jc w:val="center"/>
        <w:textAlignment w:val="baseline"/>
      </w:pPr>
      <w:r w:rsidRPr="00000EAB">
        <w:rPr>
          <w:rStyle w:val="spfo1"/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37350E" w:rsidRPr="00000EAB">
        <w:rPr>
          <w:rStyle w:val="spfo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b/>
          <w:bCs/>
          <w:sz w:val="28"/>
          <w:szCs w:val="28"/>
        </w:rPr>
        <w:t>ИНЫХ МЕЖБЮДЖЕТНЫХ ТРАНСФЕРТОВ</w:t>
      </w:r>
    </w:p>
    <w:p w:rsidR="00BF0564" w:rsidRPr="00000EAB" w:rsidRDefault="00BF0564" w:rsidP="00BF0564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Style w:val="spfo1"/>
          <w:rFonts w:ascii="Times New Roman" w:hAnsi="Times New Roman" w:cs="Times New Roman"/>
          <w:b/>
          <w:bCs/>
          <w:sz w:val="28"/>
          <w:szCs w:val="28"/>
        </w:rPr>
        <w:t>ИЗ БЮДЖЕТА</w:t>
      </w:r>
      <w:r w:rsidR="0037350E" w:rsidRPr="00000EAB">
        <w:rPr>
          <w:rStyle w:val="spfo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 БЮДЖЕТАМ</w:t>
      </w:r>
      <w:r w:rsidR="0037350E" w:rsidRPr="00000EAB">
        <w:rPr>
          <w:rStyle w:val="spfo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b/>
          <w:bCs/>
          <w:sz w:val="28"/>
          <w:szCs w:val="28"/>
        </w:rPr>
        <w:t>ПОСЕЛЕНИЙ, ВХОДЯЩИХ В СОСТАВ</w:t>
      </w:r>
      <w:r w:rsidR="0037350E" w:rsidRPr="00000EAB">
        <w:rPr>
          <w:rStyle w:val="spfo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BF0564" w:rsidRPr="00000EAB" w:rsidRDefault="00BF0564" w:rsidP="00BF0564">
      <w:pPr>
        <w:spacing w:after="0"/>
        <w:jc w:val="center"/>
        <w:textAlignment w:val="baseline"/>
        <w:rPr>
          <w:rStyle w:val="spfo1"/>
        </w:rPr>
      </w:pPr>
    </w:p>
    <w:p w:rsidR="00BF0564" w:rsidRPr="00000EAB" w:rsidRDefault="00BF0564" w:rsidP="00BF0564">
      <w:pPr>
        <w:jc w:val="center"/>
        <w:textAlignment w:val="baseline"/>
        <w:rPr>
          <w:b/>
        </w:rPr>
      </w:pPr>
      <w:r w:rsidRPr="00000EAB">
        <w:rPr>
          <w:rStyle w:val="spfo1"/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F0564" w:rsidRPr="00000EAB" w:rsidRDefault="00BF0564" w:rsidP="0037350E">
      <w:pPr>
        <w:ind w:firstLine="709"/>
        <w:jc w:val="both"/>
        <w:textAlignment w:val="baseline"/>
        <w:rPr>
          <w:rStyle w:val="spfo1"/>
        </w:rPr>
      </w:pPr>
      <w:r w:rsidRPr="00000EAB">
        <w:rPr>
          <w:rStyle w:val="spfo1"/>
          <w:rFonts w:ascii="Times New Roman" w:hAnsi="Times New Roman" w:cs="Times New Roman"/>
          <w:sz w:val="28"/>
          <w:szCs w:val="28"/>
        </w:rPr>
        <w:t>1.1. Настоящий Порядок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разработан в соответствии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со </w:t>
      </w:r>
      <w:r w:rsidRPr="00000EAB">
        <w:rPr>
          <w:rFonts w:ascii="Times New Roman" w:hAnsi="Times New Roman"/>
          <w:sz w:val="28"/>
          <w:szCs w:val="28"/>
        </w:rPr>
        <w:t>статьями 9, 142.4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Бюджетного кодекса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Российской Федерации, Законом Курской области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от 29.12.2005 г. №117-ЗКО «О порядке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>и условиях предоставления</w:t>
      </w:r>
      <w:r w:rsidR="0037350E" w:rsidRPr="00000EAB">
        <w:rPr>
          <w:rFonts w:ascii="Times New Roman" w:hAnsi="Times New Roman"/>
          <w:sz w:val="28"/>
          <w:szCs w:val="28"/>
        </w:rPr>
        <w:t xml:space="preserve"> </w:t>
      </w:r>
      <w:r w:rsidRPr="00000EAB">
        <w:rPr>
          <w:rFonts w:ascii="Times New Roman" w:hAnsi="Times New Roman"/>
          <w:sz w:val="28"/>
          <w:szCs w:val="28"/>
        </w:rPr>
        <w:t xml:space="preserve">межбюджетных трансфертов из областного бюджета и местных бюджетов»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и определяет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правовые и организационные основы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формирования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и использования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иных межбюджетных трансфертов, передаваемых бюджетам поселений, входящим в состав Курского района Курской области (далее - поселения)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из бюджета Курского района Курской области.</w:t>
      </w:r>
    </w:p>
    <w:p w:rsidR="00BF0564" w:rsidRPr="00000EAB" w:rsidRDefault="00BF0564" w:rsidP="0037350E">
      <w:pPr>
        <w:ind w:firstLine="709"/>
        <w:jc w:val="both"/>
        <w:textAlignment w:val="baseline"/>
      </w:pPr>
      <w:r w:rsidRPr="00000EAB">
        <w:rPr>
          <w:rStyle w:val="spfo1"/>
          <w:rFonts w:ascii="Times New Roman" w:hAnsi="Times New Roman" w:cs="Times New Roman"/>
          <w:sz w:val="28"/>
          <w:szCs w:val="28"/>
        </w:rPr>
        <w:t>1.2. Понятия и термины, используемые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в настоящем Порядке, применяются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в значениях,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определенных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Бюджетным кодексом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F0564" w:rsidRPr="00000EAB" w:rsidRDefault="00BF0564" w:rsidP="00BF0564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00EAB">
        <w:rPr>
          <w:rStyle w:val="spfo1"/>
          <w:rFonts w:ascii="Times New Roman" w:hAnsi="Times New Roman" w:cs="Times New Roman"/>
          <w:b/>
          <w:sz w:val="28"/>
          <w:szCs w:val="28"/>
        </w:rPr>
        <w:t>2. Цели</w:t>
      </w:r>
      <w:r w:rsidR="0037350E" w:rsidRPr="00000EAB">
        <w:rPr>
          <w:rStyle w:val="spfo1"/>
          <w:rFonts w:ascii="Times New Roman" w:hAnsi="Times New Roman" w:cs="Times New Roman"/>
          <w:b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b/>
          <w:sz w:val="28"/>
          <w:szCs w:val="28"/>
        </w:rPr>
        <w:t>предоставления иных межбюджетных трансфертов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Style w:val="spfo1"/>
        </w:rPr>
      </w:pPr>
      <w:r w:rsidRPr="00000EAB">
        <w:rPr>
          <w:rStyle w:val="spfo1"/>
          <w:rFonts w:ascii="Times New Roman" w:hAnsi="Times New Roman" w:cs="Times New Roman"/>
          <w:sz w:val="28"/>
          <w:szCs w:val="28"/>
        </w:rPr>
        <w:t>2.1. Иные межбюджетные трансферты, предоставляемые из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бюджета Курского района Курской области, носят целевой характер.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Style w:val="spfo1"/>
          <w:rFonts w:ascii="Times New Roman" w:hAnsi="Times New Roman" w:cs="Times New Roman"/>
          <w:sz w:val="28"/>
          <w:szCs w:val="28"/>
        </w:rPr>
      </w:pPr>
      <w:r w:rsidRPr="00000EAB">
        <w:rPr>
          <w:rStyle w:val="spfo1"/>
          <w:rFonts w:ascii="Times New Roman" w:hAnsi="Times New Roman" w:cs="Times New Roman"/>
          <w:sz w:val="28"/>
          <w:szCs w:val="28"/>
        </w:rPr>
        <w:t>2.2.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Из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бюджета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Курского района Курской области предоставляются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на следующие цели: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</w:pPr>
      <w:r w:rsidRPr="00000EAB">
        <w:rPr>
          <w:rFonts w:ascii="Times New Roman" w:hAnsi="Times New Roman" w:cs="Times New Roman"/>
          <w:sz w:val="28"/>
          <w:szCs w:val="28"/>
        </w:rPr>
        <w:t>2.2.1. Финансовое обеспечение исполнения поселениями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переданной им части полномочий по вопросам местного значения муниципального района «Курский район» Курской области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передаче части полномочий;</w:t>
      </w:r>
    </w:p>
    <w:p w:rsidR="00BF0564" w:rsidRPr="00000EAB" w:rsidRDefault="00BF0564" w:rsidP="0037350E">
      <w:pPr>
        <w:ind w:firstLine="709"/>
        <w:jc w:val="both"/>
        <w:textAlignment w:val="baseline"/>
        <w:rPr>
          <w:rStyle w:val="spfo1"/>
        </w:rPr>
      </w:pPr>
      <w:r w:rsidRPr="00000EAB">
        <w:rPr>
          <w:rFonts w:ascii="Times New Roman" w:hAnsi="Times New Roman" w:cs="Times New Roman"/>
          <w:sz w:val="28"/>
          <w:szCs w:val="28"/>
        </w:rPr>
        <w:t xml:space="preserve">2.2.2.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В иных случаях, установленных законодательством Российской Федерации, законодательством Курской области и нормативными правовыми актами муниципального района «Курский район» Курской области.</w:t>
      </w:r>
    </w:p>
    <w:p w:rsidR="00BF0564" w:rsidRPr="00000EAB" w:rsidRDefault="00BF0564" w:rsidP="007F2416">
      <w:pPr>
        <w:keepNext/>
        <w:spacing w:after="0"/>
        <w:jc w:val="center"/>
        <w:textAlignment w:val="baseline"/>
        <w:rPr>
          <w:b/>
        </w:rPr>
      </w:pPr>
      <w:r w:rsidRPr="00000EA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000EAB">
        <w:rPr>
          <w:rFonts w:ascii="Times New Roman" w:hAnsi="Times New Roman" w:cs="Times New Roman"/>
          <w:sz w:val="28"/>
          <w:szCs w:val="28"/>
        </w:rPr>
        <w:t xml:space="preserve">. </w:t>
      </w:r>
      <w:r w:rsidRPr="00000EAB">
        <w:rPr>
          <w:rFonts w:ascii="Times New Roman" w:hAnsi="Times New Roman" w:cs="Times New Roman"/>
          <w:b/>
          <w:sz w:val="28"/>
          <w:szCs w:val="28"/>
        </w:rPr>
        <w:t>Условия предоставления иных межбюджетных трансфертов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3.1. Условием предоставления иных межбюджетных трансфертов, указанных в пункте 2 настоящего Порядка, является решение Представительного Собрания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области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о передаче части полномочий муниципальным районом "Курский район" Курской области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поселениям.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Style w:val="spfo1"/>
        </w:rPr>
      </w:pPr>
      <w:r w:rsidRPr="00000EAB">
        <w:rPr>
          <w:rStyle w:val="spfo1"/>
          <w:rFonts w:ascii="Times New Roman" w:hAnsi="Times New Roman" w:cs="Times New Roman"/>
          <w:sz w:val="28"/>
          <w:szCs w:val="28"/>
        </w:rPr>
        <w:t>3.2. Иные межбюджетные трансферты из бюджета Курского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района Курской области бюджетам поселений предоставляются в соответствии с заключенными соглашениями. Заключение соглашения от имени Администрации Курского района Курской области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осуществляет Глава Курского района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Курской области.</w:t>
      </w:r>
    </w:p>
    <w:p w:rsidR="00BF0564" w:rsidRPr="00000EAB" w:rsidRDefault="00BF0564" w:rsidP="00BF0564">
      <w:pPr>
        <w:spacing w:after="0"/>
        <w:jc w:val="both"/>
        <w:textAlignment w:val="baseline"/>
      </w:pPr>
    </w:p>
    <w:p w:rsidR="00BF0564" w:rsidRPr="00000EAB" w:rsidRDefault="00BF0564" w:rsidP="00BF0564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b/>
          <w:sz w:val="28"/>
          <w:szCs w:val="28"/>
        </w:rPr>
        <w:t>4. Порядок предоставления иных межбюджетных трансфертов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4.1. Иные межбюджетные трансферты передаются поселениям с целью финансового обеспечения выполнения части переданных полномочий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муниципального района "Курский район" Курской области.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4.1.1. Объем иных межбюджетных трансфертов, необходимых поселениям на выполнение части полномочий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муниципального района "Курский район" Курской области, определяется из размера расходов: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1) на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администрирование исходя: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- из расчетного фонда оплаты труда одного работника соответствующей квалификации в размере от 10 до 100 процентов (в зависимости от объема выполняемых работ);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- из расчетного показателя по материальным затратам на одного работника в год, определенного в соответствии с методикой планирования бюджетных ассигнований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Курского района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Курской области ;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2) на мероприятия, проводимые в рамках выполнения переданных полномочий и фактически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сложившихся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расходов за отчетный финансовый год.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4.1.2. Объем иных межбюджетных трансфертов на выполнение части полномочий муниципального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района "Курский район" Курской области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бюджетам поселений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из бюджета Курского района Курской области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утверждается решением Представительного Собрания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на очередной финансовый год и на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плановый период по каждому поселению и переданному полномочию.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4.1.3. Иные межбюджетные трансферты из бюджета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 xml:space="preserve">предоставляются в пределах бюджетных ассигнований и </w:t>
      </w:r>
      <w:r w:rsidRPr="00000EAB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обязательств, утвержденных в сводной бюджетной росписи бюджета Курского района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Курской области, и кассового плана.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Style w:val="spfo1"/>
        </w:rPr>
      </w:pPr>
      <w:r w:rsidRPr="00000EAB">
        <w:rPr>
          <w:rStyle w:val="spfo1"/>
          <w:rFonts w:ascii="Times New Roman" w:hAnsi="Times New Roman" w:cs="Times New Roman"/>
          <w:sz w:val="28"/>
          <w:szCs w:val="28"/>
        </w:rPr>
        <w:t>4.1.4. Управление по бюджету и налогам Администрации Курского района Курской области доводит до органов местного самоуправления поселений уведомления о бюджетных ассигнованиях, о лимитах бюджетных обязательств в соответствии с Порядком составления и ведения сводной бюджетной росписи бюджета Курского района Курской области, утвержденным приказом управления по бюджету и налогам Администрации Курского района Курской области.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</w:pPr>
      <w:r w:rsidRPr="00000EAB">
        <w:rPr>
          <w:rFonts w:ascii="Times New Roman" w:hAnsi="Times New Roman" w:cs="Times New Roman"/>
          <w:sz w:val="28"/>
          <w:szCs w:val="28"/>
        </w:rPr>
        <w:t xml:space="preserve">4.1.5. </w:t>
      </w:r>
      <w:r w:rsidR="00000EAB">
        <w:rPr>
          <w:rFonts w:ascii="Times New Roman" w:hAnsi="Times New Roman" w:cs="Times New Roman"/>
          <w:sz w:val="28"/>
          <w:szCs w:val="28"/>
        </w:rPr>
        <w:t>Иные м</w:t>
      </w:r>
      <w:r w:rsidRPr="00000EAB">
        <w:rPr>
          <w:rFonts w:ascii="Times New Roman" w:hAnsi="Times New Roman" w:cs="Times New Roman"/>
          <w:sz w:val="28"/>
          <w:szCs w:val="28"/>
        </w:rPr>
        <w:t>ежбюджетные трансферты на выполнение части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полномочий муниципального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района "Курский район" Курской области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из бюджета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Курского района Курской области перечисляются управлением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по бюджету и налогам Администрации Курского района Курской области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в сроки и порядке, определенные заключенными соглашениями о передаче части полномочий между муниципальным районом "Курский район" Курской области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и поселениями 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4.1.6. Иные межбюджетные трансферты на осуществление поселениями части полномочий по вопросам местного значения муниципального</w:t>
      </w:r>
      <w:r w:rsidR="0037350E" w:rsidRPr="00000EAB">
        <w:rPr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Fonts w:ascii="Times New Roman" w:hAnsi="Times New Roman" w:cs="Times New Roman"/>
          <w:sz w:val="28"/>
          <w:szCs w:val="28"/>
        </w:rPr>
        <w:t>района "Курский район" Курской области, передаваемые бюджетам поселений, учитываются в составе доходов бюджета соответствующего поселения согласно бюджетной классификации.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Fonts w:ascii="Times New Roman" w:hAnsi="Times New Roman" w:cs="Times New Roman"/>
          <w:sz w:val="28"/>
          <w:szCs w:val="28"/>
        </w:rPr>
        <w:t>4.1.7. Не использованные на конец финансового года иные межбюджетные трансферты на осуществление части полномочий по вопросам местного значения муниципального района "Курский район" Курской области подлежат возврату в бюджет Курского района Курской области.</w:t>
      </w:r>
    </w:p>
    <w:p w:rsidR="00BF0564" w:rsidRPr="00000EAB" w:rsidRDefault="00BF0564" w:rsidP="00BF056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F0564" w:rsidRPr="00000EAB" w:rsidRDefault="00BF0564" w:rsidP="00BF0564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00EAB">
        <w:rPr>
          <w:rStyle w:val="spfo1"/>
          <w:rFonts w:ascii="Times New Roman" w:hAnsi="Times New Roman" w:cs="Times New Roman"/>
          <w:b/>
          <w:sz w:val="28"/>
          <w:szCs w:val="28"/>
        </w:rPr>
        <w:t>5. Контроль за использованием иных межбюджетных трансфертов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Style w:val="spfo1"/>
          <w:rFonts w:ascii="Times New Roman" w:hAnsi="Times New Roman" w:cs="Times New Roman"/>
          <w:sz w:val="28"/>
          <w:szCs w:val="28"/>
        </w:rPr>
        <w:t>5.1. Контроль за целевым использованием иных межбюджетных трансфертов осуществляется на основании отчетов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о расходовании финансовых средств, предоставляемых поселениями в Администрацию Курского района Курской области. Периодичность и форма предоставления отчетов определяются соглашением.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Style w:val="spfo1"/>
          <w:rFonts w:ascii="Times New Roman" w:hAnsi="Times New Roman" w:cs="Times New Roman"/>
          <w:sz w:val="28"/>
          <w:szCs w:val="28"/>
        </w:rPr>
        <w:t>5.2. Контроль за использованием финансовых средств осуществляет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органом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Курского района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Курской области 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Style w:val="spfo1"/>
          <w:rFonts w:ascii="Times New Roman" w:hAnsi="Times New Roman" w:cs="Times New Roman"/>
          <w:sz w:val="28"/>
          <w:szCs w:val="28"/>
        </w:rPr>
        <w:t>5.3. 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BF0564" w:rsidRPr="00000EAB" w:rsidRDefault="00BF0564" w:rsidP="0037350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0EAB">
        <w:rPr>
          <w:rStyle w:val="spfo1"/>
          <w:rFonts w:ascii="Times New Roman" w:hAnsi="Times New Roman" w:cs="Times New Roman"/>
          <w:sz w:val="28"/>
          <w:szCs w:val="28"/>
        </w:rPr>
        <w:lastRenderedPageBreak/>
        <w:t>5.4. В случае нецелевого использования иных межбюджетных трансфертов финансовые средства подлежат возврату в бюджет Курского района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Курской области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в сроки, установленные соглашением.</w:t>
      </w:r>
    </w:p>
    <w:p w:rsidR="0037350E" w:rsidRDefault="00BF0564" w:rsidP="0037350E">
      <w:pPr>
        <w:ind w:firstLine="709"/>
        <w:jc w:val="both"/>
        <w:textAlignment w:val="baseline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  <w:r w:rsidRPr="00000EAB">
        <w:rPr>
          <w:rStyle w:val="spfo1"/>
          <w:rFonts w:ascii="Times New Roman" w:hAnsi="Times New Roman" w:cs="Times New Roman"/>
          <w:sz w:val="28"/>
          <w:szCs w:val="28"/>
        </w:rPr>
        <w:t>5.5. Органы местного самоуправления поселений несут ответственность за нецелевое использование иных межбюджетных трансфертов и достоверность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предоставляемых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отчетов</w:t>
      </w:r>
      <w:r w:rsidR="0037350E" w:rsidRPr="00000EAB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000EAB">
        <w:rPr>
          <w:rStyle w:val="spfo1"/>
          <w:rFonts w:ascii="Times New Roman" w:hAnsi="Times New Roman" w:cs="Times New Roman"/>
          <w:sz w:val="28"/>
          <w:szCs w:val="28"/>
        </w:rPr>
        <w:t>в соответствии с законода</w:t>
      </w:r>
      <w:r>
        <w:rPr>
          <w:rStyle w:val="spfo1"/>
          <w:rFonts w:ascii="Times New Roman" w:hAnsi="Times New Roman" w:cs="Times New Roman"/>
          <w:color w:val="333333"/>
          <w:sz w:val="28"/>
          <w:szCs w:val="28"/>
        </w:rPr>
        <w:t>тельством Российской Федерации.</w:t>
      </w:r>
    </w:p>
    <w:sectPr w:rsidR="0037350E" w:rsidSect="007F24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94" w:rsidRDefault="00076594" w:rsidP="007F2416">
      <w:pPr>
        <w:spacing w:after="0" w:line="240" w:lineRule="auto"/>
      </w:pPr>
      <w:r>
        <w:separator/>
      </w:r>
    </w:p>
  </w:endnote>
  <w:endnote w:type="continuationSeparator" w:id="0">
    <w:p w:rsidR="00076594" w:rsidRDefault="00076594" w:rsidP="007F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94" w:rsidRDefault="00076594" w:rsidP="007F2416">
      <w:pPr>
        <w:spacing w:after="0" w:line="240" w:lineRule="auto"/>
      </w:pPr>
      <w:r>
        <w:separator/>
      </w:r>
    </w:p>
  </w:footnote>
  <w:footnote w:type="continuationSeparator" w:id="0">
    <w:p w:rsidR="00076594" w:rsidRDefault="00076594" w:rsidP="007F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3751"/>
      <w:docPartObj>
        <w:docPartGallery w:val="Page Numbers (Top of Page)"/>
        <w:docPartUnique/>
      </w:docPartObj>
    </w:sdtPr>
    <w:sdtEndPr/>
    <w:sdtContent>
      <w:p w:rsidR="007F2416" w:rsidRDefault="0007659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4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2416" w:rsidRDefault="007F24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64"/>
    <w:rsid w:val="00000EAB"/>
    <w:rsid w:val="00076594"/>
    <w:rsid w:val="001E5A03"/>
    <w:rsid w:val="0037350E"/>
    <w:rsid w:val="007A3432"/>
    <w:rsid w:val="007F2416"/>
    <w:rsid w:val="008B6DD5"/>
    <w:rsid w:val="009C3404"/>
    <w:rsid w:val="00BF0564"/>
    <w:rsid w:val="00C35479"/>
    <w:rsid w:val="00F8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9A2AD-0B40-4701-B398-21B49763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BF0564"/>
  </w:style>
  <w:style w:type="table" w:styleId="a3">
    <w:name w:val="Table Grid"/>
    <w:basedOn w:val="a1"/>
    <w:uiPriority w:val="59"/>
    <w:rsid w:val="00BF05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F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416"/>
  </w:style>
  <w:style w:type="paragraph" w:styleId="a6">
    <w:name w:val="footer"/>
    <w:basedOn w:val="a"/>
    <w:link w:val="a7"/>
    <w:uiPriority w:val="99"/>
    <w:semiHidden/>
    <w:unhideWhenUsed/>
    <w:rsid w:val="007F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2416"/>
  </w:style>
  <w:style w:type="paragraph" w:styleId="a8">
    <w:name w:val="No Spacing"/>
    <w:link w:val="a9"/>
    <w:uiPriority w:val="1"/>
    <w:qFormat/>
    <w:rsid w:val="007F2416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7F2416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2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2021-12-16T14:11:00Z</dcterms:created>
  <dcterms:modified xsi:type="dcterms:W3CDTF">2021-12-16T14:11:00Z</dcterms:modified>
</cp:coreProperties>
</file>