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EC" w:rsidRDefault="00097CEC" w:rsidP="00097CEC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097CEC" w:rsidRDefault="00097CEC" w:rsidP="00097CE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097CEC" w:rsidRDefault="00097CEC" w:rsidP="00097CEC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097CEC" w:rsidRDefault="00097CEC" w:rsidP="00097CEC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097CEC" w:rsidRDefault="00097CEC" w:rsidP="00097CEC">
      <w:pPr>
        <w:ind w:left="-567"/>
        <w:rPr>
          <w:rFonts w:eastAsia="Times New Roman"/>
          <w:sz w:val="28"/>
          <w:szCs w:val="28"/>
          <w:lang w:val="ru-RU"/>
        </w:rPr>
      </w:pPr>
    </w:p>
    <w:p w:rsidR="00097CEC" w:rsidRDefault="00097CEC" w:rsidP="00097CEC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42-4-41</w:t>
      </w:r>
      <w:r w:rsidR="0084143F">
        <w:rPr>
          <w:rFonts w:eastAsia="Times New Roman"/>
          <w:sz w:val="28"/>
          <w:szCs w:val="28"/>
          <w:lang w:val="ru-RU"/>
        </w:rPr>
        <w:t>7</w:t>
      </w:r>
    </w:p>
    <w:p w:rsidR="0084143F" w:rsidRDefault="0084143F" w:rsidP="00097CEC">
      <w:pPr>
        <w:rPr>
          <w:rFonts w:eastAsia="Times New Roman"/>
          <w:sz w:val="28"/>
          <w:szCs w:val="28"/>
          <w:lang w:val="ru-RU"/>
        </w:rPr>
      </w:pPr>
    </w:p>
    <w:p w:rsidR="0084143F" w:rsidRPr="0084143F" w:rsidRDefault="0084143F" w:rsidP="0084143F">
      <w:pPr>
        <w:adjustRightInd/>
        <w:rPr>
          <w:rFonts w:eastAsia="Times New Roman"/>
          <w:sz w:val="28"/>
          <w:szCs w:val="28"/>
          <w:lang w:val="ru-RU" w:eastAsia="ru-RU"/>
        </w:rPr>
      </w:pPr>
      <w:r w:rsidRPr="0084143F">
        <w:rPr>
          <w:rFonts w:eastAsia="Times New Roman"/>
          <w:sz w:val="28"/>
          <w:szCs w:val="28"/>
          <w:lang w:val="ru-RU" w:eastAsia="ru-RU"/>
        </w:rPr>
        <w:t xml:space="preserve">О внесении изменений в </w:t>
      </w:r>
    </w:p>
    <w:p w:rsidR="0084143F" w:rsidRPr="0084143F" w:rsidRDefault="0084143F" w:rsidP="0084143F">
      <w:pPr>
        <w:adjustRightInd/>
        <w:rPr>
          <w:rFonts w:eastAsia="Times New Roman"/>
          <w:sz w:val="28"/>
          <w:szCs w:val="28"/>
          <w:lang w:val="ru-RU" w:eastAsia="ru-RU"/>
        </w:rPr>
      </w:pPr>
      <w:r w:rsidRPr="0084143F">
        <w:rPr>
          <w:rFonts w:eastAsia="Times New Roman"/>
          <w:sz w:val="28"/>
          <w:szCs w:val="28"/>
          <w:lang w:val="ru-RU" w:eastAsia="ru-RU"/>
        </w:rPr>
        <w:t xml:space="preserve">Решение Представительного </w:t>
      </w:r>
    </w:p>
    <w:p w:rsidR="0084143F" w:rsidRPr="0084143F" w:rsidRDefault="0084143F" w:rsidP="0084143F">
      <w:pPr>
        <w:adjustRightInd/>
        <w:rPr>
          <w:rFonts w:eastAsia="Times New Roman"/>
          <w:sz w:val="28"/>
          <w:szCs w:val="28"/>
          <w:lang w:val="ru-RU" w:eastAsia="ru-RU"/>
        </w:rPr>
      </w:pPr>
      <w:r w:rsidRPr="0084143F">
        <w:rPr>
          <w:rFonts w:eastAsia="Times New Roman"/>
          <w:sz w:val="28"/>
          <w:szCs w:val="28"/>
          <w:lang w:val="ru-RU" w:eastAsia="ru-RU"/>
        </w:rPr>
        <w:t xml:space="preserve">Собрания Курского района </w:t>
      </w:r>
    </w:p>
    <w:p w:rsidR="00CB7F12" w:rsidRDefault="0084143F" w:rsidP="0084143F">
      <w:pPr>
        <w:adjustRightInd/>
        <w:rPr>
          <w:rFonts w:eastAsia="Times New Roman"/>
          <w:sz w:val="28"/>
          <w:szCs w:val="28"/>
          <w:lang w:val="ru-RU" w:eastAsia="ru-RU"/>
        </w:rPr>
      </w:pPr>
      <w:r w:rsidRPr="0084143F">
        <w:rPr>
          <w:rFonts w:eastAsia="Times New Roman"/>
          <w:sz w:val="28"/>
          <w:szCs w:val="28"/>
          <w:lang w:val="ru-RU" w:eastAsia="ru-RU"/>
        </w:rPr>
        <w:t xml:space="preserve">Курской области </w:t>
      </w:r>
    </w:p>
    <w:p w:rsidR="00CB7F12" w:rsidRDefault="0084143F" w:rsidP="0084143F">
      <w:pPr>
        <w:adjustRightInd/>
        <w:rPr>
          <w:rFonts w:eastAsia="Times New Roman"/>
          <w:sz w:val="28"/>
          <w:szCs w:val="28"/>
          <w:lang w:val="ru-RU" w:eastAsia="ru-RU"/>
        </w:rPr>
      </w:pPr>
      <w:r w:rsidRPr="0084143F">
        <w:rPr>
          <w:rFonts w:eastAsia="Times New Roman"/>
          <w:sz w:val="28"/>
          <w:szCs w:val="28"/>
          <w:lang w:val="ru-RU" w:eastAsia="ru-RU"/>
        </w:rPr>
        <w:t xml:space="preserve">от 20 декабря 2019 г. № 5-4-24 </w:t>
      </w:r>
    </w:p>
    <w:p w:rsidR="00CB7F12" w:rsidRDefault="0084143F" w:rsidP="00CB7F12">
      <w:pPr>
        <w:adjustRightInd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sz w:val="28"/>
          <w:szCs w:val="28"/>
          <w:lang w:val="ru-RU" w:eastAsia="ru-RU"/>
        </w:rPr>
        <w:t>«</w:t>
      </w: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Об утверждении Примерного </w:t>
      </w:r>
    </w:p>
    <w:p w:rsidR="00CB7F12" w:rsidRDefault="0084143F" w:rsidP="00CB7F12">
      <w:pPr>
        <w:adjustRightInd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>положения об оплате</w:t>
      </w:r>
      <w:r w:rsidR="00CB7F12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</w:t>
      </w: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труда </w:t>
      </w:r>
    </w:p>
    <w:p w:rsidR="0084143F" w:rsidRPr="0084143F" w:rsidRDefault="0084143F" w:rsidP="00CB7F12">
      <w:pPr>
        <w:adjustRightInd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работников муниципального </w:t>
      </w:r>
    </w:p>
    <w:p w:rsidR="00CB7F12" w:rsidRDefault="0084143F" w:rsidP="0084143F">
      <w:pPr>
        <w:widowControl/>
        <w:autoSpaceDE/>
        <w:autoSpaceDN/>
        <w:adjustRightInd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казенного учреждения </w:t>
      </w:r>
    </w:p>
    <w:p w:rsidR="00CB7F12" w:rsidRDefault="0084143F" w:rsidP="0084143F">
      <w:pPr>
        <w:widowControl/>
        <w:autoSpaceDE/>
        <w:autoSpaceDN/>
        <w:adjustRightInd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>«По обеспечению деятельности </w:t>
      </w:r>
    </w:p>
    <w:p w:rsidR="0084143F" w:rsidRPr="0084143F" w:rsidRDefault="0084143F" w:rsidP="0084143F">
      <w:pPr>
        <w:widowControl/>
        <w:autoSpaceDE/>
        <w:autoSpaceDN/>
        <w:adjustRightInd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Администрации Курского </w:t>
      </w:r>
    </w:p>
    <w:p w:rsidR="0084143F" w:rsidRPr="0084143F" w:rsidRDefault="0084143F" w:rsidP="0084143F">
      <w:pPr>
        <w:widowControl/>
        <w:autoSpaceDE/>
        <w:autoSpaceDN/>
        <w:adjustRightInd/>
        <w:rPr>
          <w:rFonts w:eastAsia="Times New Roman"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>района Курской области»</w:t>
      </w:r>
    </w:p>
    <w:p w:rsidR="0084143F" w:rsidRPr="00CB7F12" w:rsidRDefault="0084143F" w:rsidP="0084143F">
      <w:pPr>
        <w:adjustRightInd/>
        <w:ind w:left="1060"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CB7F12" w:rsidRPr="00CB7F12" w:rsidRDefault="00CB7F12" w:rsidP="00CB7F12">
      <w:pPr>
        <w:adjustRightInd/>
        <w:ind w:left="1060" w:hanging="357"/>
        <w:jc w:val="both"/>
        <w:rPr>
          <w:rFonts w:eastAsia="Times New Roman"/>
          <w:sz w:val="28"/>
          <w:szCs w:val="28"/>
          <w:lang w:val="ru-RU" w:eastAsia="ru-RU"/>
        </w:rPr>
      </w:pPr>
    </w:p>
    <w:p w:rsidR="0084143F" w:rsidRPr="0084143F" w:rsidRDefault="0084143F" w:rsidP="00CB7F12">
      <w:pPr>
        <w:widowControl/>
        <w:ind w:firstLine="708"/>
        <w:jc w:val="both"/>
        <w:rPr>
          <w:rFonts w:ascii="13,5" w:eastAsia="Calibri" w:hAnsi="13,5"/>
          <w:sz w:val="28"/>
          <w:szCs w:val="28"/>
          <w:lang w:val="ru-RU"/>
        </w:rPr>
      </w:pPr>
      <w:r w:rsidRPr="0084143F">
        <w:rPr>
          <w:rFonts w:ascii="13,5" w:eastAsia="Calibri" w:hAnsi="13,5"/>
          <w:sz w:val="28"/>
          <w:szCs w:val="28"/>
          <w:lang w:val="ru-RU"/>
        </w:rPr>
        <w:t xml:space="preserve">В соответствии со </w:t>
      </w:r>
      <w:r w:rsidRPr="0084143F">
        <w:rPr>
          <w:rFonts w:eastAsia="Calibri"/>
          <w:sz w:val="28"/>
          <w:szCs w:val="22"/>
          <w:lang w:val="ru-RU"/>
        </w:rPr>
        <w:t xml:space="preserve">статьями 112, 135, 191 </w:t>
      </w:r>
      <w:r w:rsidRPr="0084143F">
        <w:rPr>
          <w:rFonts w:ascii="13,5" w:eastAsia="Calibri" w:hAnsi="13,5"/>
          <w:sz w:val="28"/>
          <w:szCs w:val="28"/>
          <w:lang w:val="ru-RU"/>
        </w:rPr>
        <w:t xml:space="preserve">Трудового кодекса Российской Федерации, Уставом муниципального района «Курский район» Курской области Представительное Собрание Курского района Курской области </w:t>
      </w:r>
    </w:p>
    <w:p w:rsidR="0084143F" w:rsidRDefault="0084143F" w:rsidP="00CB7F12">
      <w:pPr>
        <w:widowControl/>
        <w:spacing w:before="120"/>
        <w:jc w:val="center"/>
        <w:rPr>
          <w:rFonts w:ascii="13,5" w:eastAsia="Calibri" w:hAnsi="13,5"/>
          <w:sz w:val="28"/>
          <w:szCs w:val="28"/>
          <w:lang w:val="ru-RU"/>
        </w:rPr>
      </w:pPr>
      <w:r w:rsidRPr="0084143F">
        <w:rPr>
          <w:rFonts w:ascii="13,5" w:eastAsia="Calibri" w:hAnsi="13,5"/>
          <w:sz w:val="28"/>
          <w:szCs w:val="28"/>
          <w:lang w:val="ru-RU"/>
        </w:rPr>
        <w:t>РЕШИЛО:</w:t>
      </w:r>
    </w:p>
    <w:p w:rsidR="0084143F" w:rsidRPr="0084143F" w:rsidRDefault="0084143F" w:rsidP="00CB7F12">
      <w:pPr>
        <w:adjustRightInd/>
        <w:spacing w:before="120"/>
        <w:ind w:firstLine="708"/>
        <w:jc w:val="both"/>
        <w:rPr>
          <w:rFonts w:eastAsia="Times New Roman"/>
          <w:bCs/>
          <w:color w:val="000000"/>
          <w:sz w:val="28"/>
          <w:szCs w:val="28"/>
          <w:lang w:val="ru-RU" w:eastAsia="ru-RU"/>
        </w:rPr>
      </w:pPr>
      <w:r w:rsidRPr="0084143F">
        <w:rPr>
          <w:rFonts w:ascii="13,5" w:eastAsia="Times New Roman" w:hAnsi="13,5"/>
          <w:sz w:val="28"/>
          <w:szCs w:val="28"/>
          <w:lang w:val="ru-RU" w:eastAsia="ru-RU"/>
        </w:rPr>
        <w:t xml:space="preserve">1. Внести в  Примерное положение об оплате труда работников муниципального казенного учреждения «По обеспечению деятельности Администрации Курского района Курской области», утвержденное Решением Представительного Собрания Курского района Курской области от 20 декабря 2019 г. № 5-4-24 </w:t>
      </w:r>
      <w:r w:rsidRPr="0084143F">
        <w:rPr>
          <w:rFonts w:eastAsia="Times New Roman"/>
          <w:sz w:val="28"/>
          <w:szCs w:val="28"/>
          <w:lang w:val="ru-RU" w:eastAsia="ru-RU"/>
        </w:rPr>
        <w:t>«</w:t>
      </w: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Об утверждении Примерного положения об оплате труда работников муниципального казенного учреждения «По обеспечению деятельности Администрации Курского района Курской области» </w:t>
      </w:r>
      <w:r w:rsidRPr="0084143F">
        <w:rPr>
          <w:rFonts w:ascii="13,5" w:eastAsia="Times New Roman" w:hAnsi="13,5"/>
          <w:sz w:val="28"/>
          <w:szCs w:val="28"/>
          <w:lang w:val="ru-RU" w:eastAsia="ru-RU"/>
        </w:rPr>
        <w:t xml:space="preserve">(в редакции решений Представительного Собрания Курского района Курской области от </w:t>
      </w:r>
      <w:r w:rsidRPr="0084143F">
        <w:rPr>
          <w:rFonts w:eastAsia="Times New Roman"/>
          <w:bCs/>
          <w:color w:val="000000"/>
          <w:sz w:val="27"/>
          <w:szCs w:val="27"/>
          <w:lang w:val="ru-RU" w:eastAsia="ru-RU"/>
        </w:rPr>
        <w:t>21 декабря 2021 г. № 21-4-197</w:t>
      </w:r>
      <w:r w:rsidRPr="0084143F">
        <w:rPr>
          <w:rFonts w:eastAsia="Times New Roman"/>
          <w:bCs/>
          <w:sz w:val="27"/>
          <w:szCs w:val="27"/>
          <w:lang w:val="ru-RU" w:eastAsia="ru-RU"/>
        </w:rPr>
        <w:t xml:space="preserve">, </w:t>
      </w:r>
      <w:hyperlink r:id="rId6" w:tgtFrame="_blank" w:history="1">
        <w:r w:rsidRPr="0084143F">
          <w:rPr>
            <w:rFonts w:eastAsia="Times New Roman"/>
            <w:sz w:val="28"/>
            <w:szCs w:val="20"/>
            <w:lang w:val="ru-RU" w:eastAsia="ru-RU"/>
          </w:rPr>
          <w:t>от 27 декабря 2022 г. № 34-4-307</w:t>
        </w:r>
      </w:hyperlink>
      <w:r w:rsidRPr="0084143F">
        <w:rPr>
          <w:rFonts w:eastAsia="Times New Roman"/>
          <w:sz w:val="28"/>
          <w:szCs w:val="20"/>
          <w:lang w:val="ru-RU" w:eastAsia="ru-RU"/>
        </w:rPr>
        <w:t>, </w:t>
      </w:r>
      <w:hyperlink r:id="rId7" w:tgtFrame="_blank" w:history="1">
        <w:r w:rsidRPr="0084143F">
          <w:rPr>
            <w:rFonts w:eastAsia="Times New Roman"/>
            <w:sz w:val="28"/>
            <w:szCs w:val="20"/>
            <w:lang w:val="ru-RU" w:eastAsia="ru-RU"/>
          </w:rPr>
          <w:t>от 16 февраля 2023 г. № 35-4-323</w:t>
        </w:r>
      </w:hyperlink>
      <w:r w:rsidRPr="0084143F">
        <w:rPr>
          <w:rFonts w:eastAsia="Times New Roman"/>
          <w:bCs/>
          <w:sz w:val="27"/>
          <w:szCs w:val="27"/>
          <w:lang w:val="ru-RU" w:eastAsia="ru-RU"/>
        </w:rPr>
        <w:t>) сл</w:t>
      </w:r>
      <w:r w:rsidRPr="0084143F">
        <w:rPr>
          <w:rFonts w:eastAsia="Times New Roman"/>
          <w:bCs/>
          <w:color w:val="000000"/>
          <w:sz w:val="27"/>
          <w:szCs w:val="27"/>
          <w:lang w:val="ru-RU" w:eastAsia="ru-RU"/>
        </w:rPr>
        <w:t xml:space="preserve">едующие  </w:t>
      </w: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>изменения:</w:t>
      </w:r>
    </w:p>
    <w:p w:rsidR="0084143F" w:rsidRDefault="0084143F" w:rsidP="0084143F">
      <w:pPr>
        <w:adjustRightInd/>
        <w:ind w:firstLine="708"/>
        <w:jc w:val="both"/>
        <w:rPr>
          <w:rFonts w:eastAsia="Times New Roman"/>
          <w:sz w:val="28"/>
          <w:szCs w:val="28"/>
          <w:lang w:val="ru-RU" w:eastAsia="ru-RU"/>
        </w:rPr>
      </w:pPr>
      <w:r w:rsidRPr="0084143F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1) </w:t>
      </w:r>
      <w:r w:rsidRPr="0084143F">
        <w:rPr>
          <w:rFonts w:eastAsia="Times New Roman"/>
          <w:sz w:val="28"/>
          <w:szCs w:val="28"/>
          <w:lang w:val="ru-RU" w:eastAsia="ru-RU"/>
        </w:rPr>
        <w:t xml:space="preserve">раздел </w:t>
      </w:r>
      <w:r w:rsidRPr="0084143F">
        <w:rPr>
          <w:rFonts w:eastAsia="Times New Roman"/>
          <w:sz w:val="28"/>
          <w:szCs w:val="28"/>
          <w:lang w:eastAsia="ru-RU"/>
        </w:rPr>
        <w:t>IV</w:t>
      </w:r>
      <w:r w:rsidRPr="0084143F">
        <w:rPr>
          <w:rFonts w:eastAsia="Times New Roman"/>
          <w:sz w:val="28"/>
          <w:szCs w:val="28"/>
          <w:lang w:val="ru-RU" w:eastAsia="ru-RU"/>
        </w:rPr>
        <w:t xml:space="preserve"> «Стимулирующие выплаты» изложить в новой редакции:</w:t>
      </w:r>
    </w:p>
    <w:p w:rsidR="0084143F" w:rsidRPr="00CB7F12" w:rsidRDefault="0084143F" w:rsidP="0084143F">
      <w:pPr>
        <w:adjustRightInd/>
        <w:ind w:firstLine="708"/>
        <w:jc w:val="both"/>
        <w:rPr>
          <w:rFonts w:eastAsia="Times New Roman"/>
          <w:sz w:val="16"/>
          <w:szCs w:val="16"/>
          <w:lang w:val="ru-RU" w:eastAsia="ru-RU"/>
        </w:rPr>
      </w:pPr>
    </w:p>
    <w:p w:rsidR="0084143F" w:rsidRPr="0084143F" w:rsidRDefault="0084143F" w:rsidP="0084143F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«</w:t>
      </w:r>
      <w:r w:rsidRPr="0084143F">
        <w:rPr>
          <w:rFonts w:eastAsia="Calibri"/>
          <w:b/>
          <w:sz w:val="28"/>
          <w:szCs w:val="28"/>
        </w:rPr>
        <w:t>IV</w:t>
      </w:r>
      <w:r w:rsidRPr="0084143F">
        <w:rPr>
          <w:rFonts w:eastAsia="Calibri"/>
          <w:b/>
          <w:sz w:val="28"/>
          <w:szCs w:val="28"/>
          <w:lang w:val="ru-RU"/>
        </w:rPr>
        <w:t>. Стимулирующие выплаты</w:t>
      </w:r>
    </w:p>
    <w:p w:rsidR="0084143F" w:rsidRPr="0084143F" w:rsidRDefault="0084143F" w:rsidP="0084143F">
      <w:pPr>
        <w:widowControl/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1. В целях поощрения работников муниципального казенного учреждения за выполненную работу, основываясь на Перечне видов выплат стимулирующего характера в областных государственных учреждениях, утвержденном постановлением Правительства Курской области от 28.03.2008 № 44 «Об утверждении перечня видов выплат стимулирующего </w:t>
      </w:r>
      <w:r w:rsidRPr="0084143F">
        <w:rPr>
          <w:rFonts w:eastAsia="Calibri"/>
          <w:sz w:val="28"/>
          <w:szCs w:val="28"/>
          <w:lang w:val="ru-RU"/>
        </w:rPr>
        <w:lastRenderedPageBreak/>
        <w:t>характера в областных государственных учреждениях и разъяснения о порядке установления выплат стимулирующего характера в областных государственных учреждениях» могут устанавливаться следующие виды стимулирующих выплат: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 выплата за стаж работы в муниципальном казенном учреждении;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 премиальные выплаты по итогам работы;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 выплаты за качество выполняемых работ;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 материальная помощь;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 единовременное поощрение в связи с юбилейными датами работника;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 единовременная выплата к ежегодному отпуску.</w:t>
      </w:r>
    </w:p>
    <w:p w:rsidR="0084143F" w:rsidRPr="0084143F" w:rsidRDefault="0084143F" w:rsidP="0084143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2. Выплата за стаж работы в муниципальном казенном учреждении (далее – выплата за стаж) с учетом ранее отработанных периодов работы устанавливается в следующих коэффициентах к должностному окладу:</w:t>
      </w:r>
    </w:p>
    <w:p w:rsidR="0084143F" w:rsidRPr="0084143F" w:rsidRDefault="0084143F" w:rsidP="0084143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при стаже работы от 1 года до 5 лет - 0,10;</w:t>
      </w:r>
    </w:p>
    <w:p w:rsidR="0084143F" w:rsidRPr="0084143F" w:rsidRDefault="0084143F" w:rsidP="0084143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при стаже работы от 5 лет до 10 лет - 0,15;</w:t>
      </w:r>
    </w:p>
    <w:p w:rsidR="0084143F" w:rsidRPr="0084143F" w:rsidRDefault="0084143F" w:rsidP="0084143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при стаже работы от 10 лет до 15 лет - 0,20;</w:t>
      </w:r>
    </w:p>
    <w:p w:rsidR="0084143F" w:rsidRPr="0084143F" w:rsidRDefault="0084143F" w:rsidP="0084143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при стаже работы свыше 15 лет - 0,25.</w:t>
      </w:r>
    </w:p>
    <w:p w:rsidR="0084143F" w:rsidRPr="0084143F" w:rsidRDefault="0084143F" w:rsidP="0084143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Изменение размера выплаты за стаж производится со дня достижения стажа, дающего право на увеличение ее размера, на основании приказа руководителя.</w:t>
      </w:r>
    </w:p>
    <w:p w:rsidR="0084143F" w:rsidRPr="0084143F" w:rsidRDefault="0084143F" w:rsidP="0084143F">
      <w:pPr>
        <w:widowControl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3. Премиальные выплаты по итогам работы могут устанавливаться в следующих размерах и периодах: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1) премия по итогам работы за квартал в размере 0,5 должностного оклада за фактически отработанное время;</w:t>
      </w:r>
    </w:p>
    <w:p w:rsidR="0084143F" w:rsidRPr="0084143F" w:rsidRDefault="0084143F" w:rsidP="0084143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2) единовременная (разовая) премия по итогам работы за полугодие, год, в размере не более трех должностных окладов.</w:t>
      </w:r>
    </w:p>
    <w:p w:rsidR="0084143F" w:rsidRPr="0084143F" w:rsidRDefault="0084143F" w:rsidP="0084143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Выплата премий, указанных в настоящем пункте, производится работникам за счет экономии фонда оплаты труда, в пределах установленных лимитов фонда оплаты труда.</w:t>
      </w:r>
    </w:p>
    <w:p w:rsidR="0084143F" w:rsidRPr="0084143F" w:rsidRDefault="0084143F" w:rsidP="0084143F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4. Выплаты за качество выполняемых работ устанавливаются в виде премии к награждениям почетными грамотами и другими наградами </w:t>
      </w:r>
      <w:r w:rsidR="00B15D40">
        <w:rPr>
          <w:rFonts w:eastAsia="Calibri"/>
          <w:sz w:val="28"/>
          <w:szCs w:val="28"/>
          <w:lang w:val="ru-RU"/>
        </w:rPr>
        <w:t xml:space="preserve">            </w:t>
      </w:r>
      <w:proofErr w:type="gramStart"/>
      <w:r w:rsidR="00B15D40">
        <w:rPr>
          <w:rFonts w:eastAsia="Calibri"/>
          <w:sz w:val="28"/>
          <w:szCs w:val="28"/>
          <w:lang w:val="ru-RU"/>
        </w:rPr>
        <w:t xml:space="preserve">   </w:t>
      </w:r>
      <w:r w:rsidRPr="0084143F">
        <w:rPr>
          <w:rFonts w:eastAsia="Calibri"/>
          <w:sz w:val="28"/>
          <w:szCs w:val="28"/>
          <w:lang w:val="ru-RU"/>
        </w:rPr>
        <w:t>(</w:t>
      </w:r>
      <w:proofErr w:type="gramEnd"/>
      <w:r w:rsidRPr="0084143F">
        <w:rPr>
          <w:rFonts w:eastAsia="Calibri"/>
          <w:sz w:val="28"/>
          <w:szCs w:val="28"/>
          <w:lang w:val="ru-RU"/>
        </w:rPr>
        <w:t>в соответствии с положениями о награждениях Курского района, Курской области, Российской Федерации), к праздничным дням, установленным действующим законодательством.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5. В пределах средств, выделенных муниципальному казенному учреждению на оплату труда работников, работнику на основании подтверждающих документов может быть оказана материальная помощь из расчёта одного должностного оклада в год на каждого работника при наступлении следующего события (случая):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1) свадьба работника;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 xml:space="preserve">2) рождение ребенка; 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3) утрата, порча личного имущества в результате пожара или стихийного бедствия либо в результате противоправных действий третьих лиц;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lastRenderedPageBreak/>
        <w:t>4) тяжелая болезнь или смерть близкого родственника (родители, супруги, дети, родные братья и сестры);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5) особая нуждаемость в лечении и восстановлении здоровья в связи с увечьем, заболеванием, несчастным случаем, аварией;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6) острая необходимость по другим уважительным причинам.</w:t>
      </w:r>
    </w:p>
    <w:p w:rsidR="0084143F" w:rsidRPr="0084143F" w:rsidRDefault="0084143F" w:rsidP="0084143F">
      <w:pPr>
        <w:widowControl/>
        <w:shd w:val="clear" w:color="auto" w:fill="FFFFFF"/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6. Работникам муниципального казенного учреждения может выплачиваться единовременное поощрение в связи с их юбилейными датами (50, 55, 60, 65 лет со дня рождения) в размере одного должностного оклада в пределах средств, выделенных муниципальному казенному учреждению на оплату труда работников.</w:t>
      </w:r>
    </w:p>
    <w:p w:rsidR="0084143F" w:rsidRPr="0084143F" w:rsidRDefault="0084143F" w:rsidP="0084143F">
      <w:pPr>
        <w:widowControl/>
        <w:shd w:val="clear" w:color="auto" w:fill="FFFFFF"/>
        <w:overflowPunct w:val="0"/>
        <w:ind w:firstLine="709"/>
        <w:jc w:val="both"/>
        <w:textAlignment w:val="baseline"/>
        <w:rPr>
          <w:rFonts w:eastAsia="Calibri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7. В пределах средств, выделенных муниципальному казенному учреждению на оплату труда работников, может производиться единовременная выплата к отпуску. Единовременная выплата к отпуску производится работнику муниципального казенного учреждения по основному месту работы в размере двух должностных окладов при предоставлении ежегодного основного оплачиваемого отпуска в пределах фонда оплаты труда по заявлению работника.</w:t>
      </w:r>
    </w:p>
    <w:p w:rsidR="0084143F" w:rsidRPr="0084143F" w:rsidRDefault="0084143F" w:rsidP="0084143F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84143F">
        <w:rPr>
          <w:rFonts w:eastAsia="Calibri"/>
          <w:sz w:val="28"/>
          <w:szCs w:val="28"/>
          <w:lang w:val="ru-RU"/>
        </w:rPr>
        <w:t>8. Стимулирующие выплаты, предусмотренные настоящим разделом, выплачиваются на основании приказа руководителя</w:t>
      </w:r>
      <w:r w:rsidRPr="0084143F">
        <w:rPr>
          <w:rFonts w:ascii="TimesNewRomanPSMT" w:eastAsia="Calibri" w:hAnsi="TimesNewRomanPSMT" w:cs="TimesNewRomanPSMT"/>
          <w:sz w:val="28"/>
          <w:szCs w:val="28"/>
          <w:lang w:val="ru-RU"/>
        </w:rPr>
        <w:t xml:space="preserve"> муниципального казенного</w:t>
      </w:r>
      <w:r w:rsidRPr="0084143F">
        <w:rPr>
          <w:rFonts w:eastAsia="Calibri"/>
          <w:sz w:val="28"/>
          <w:szCs w:val="28"/>
          <w:lang w:val="ru-RU"/>
        </w:rPr>
        <w:t xml:space="preserve"> учреждения и в соответствии с Положением о стимулирующих выплатах в муниципальном казенном учреждении «По обеспечению деятельности Администрации Курского района Курской области». </w:t>
      </w:r>
      <w:r w:rsidRPr="0084143F">
        <w:rPr>
          <w:rFonts w:eastAsia="Calibri"/>
          <w:color w:val="000000"/>
          <w:sz w:val="28"/>
          <w:szCs w:val="28"/>
          <w:lang w:val="ru-RU"/>
        </w:rPr>
        <w:t>Ответственность за соблюдение законности, обоснованности и целесообразности расходования средств возлагается на руководителя и главного бухгалтера учреждения.»;</w:t>
      </w:r>
    </w:p>
    <w:p w:rsidR="0084143F" w:rsidRPr="0084143F" w:rsidRDefault="0084143F" w:rsidP="00CB7F12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84143F">
        <w:rPr>
          <w:rFonts w:eastAsia="Calibri"/>
          <w:color w:val="000000"/>
          <w:sz w:val="28"/>
          <w:szCs w:val="28"/>
          <w:lang w:val="ru-RU"/>
        </w:rPr>
        <w:t xml:space="preserve">2) в пункте 1 раздела </w:t>
      </w:r>
      <w:r w:rsidRPr="0084143F">
        <w:rPr>
          <w:rFonts w:eastAsia="Calibri"/>
          <w:color w:val="000000"/>
          <w:sz w:val="28"/>
          <w:szCs w:val="28"/>
        </w:rPr>
        <w:t>V</w:t>
      </w:r>
      <w:r w:rsidRPr="0084143F">
        <w:rPr>
          <w:rFonts w:eastAsia="Calibri"/>
          <w:color w:val="000000"/>
          <w:sz w:val="28"/>
          <w:szCs w:val="28"/>
          <w:lang w:val="ru-RU"/>
        </w:rPr>
        <w:t xml:space="preserve"> «Другие вопросы оплаты труда» слово «ежегодно» исключить;</w:t>
      </w:r>
    </w:p>
    <w:p w:rsidR="0084143F" w:rsidRPr="0084143F" w:rsidRDefault="0084143F" w:rsidP="00CB7F12">
      <w:pPr>
        <w:widowControl/>
        <w:autoSpaceDE/>
        <w:autoSpaceDN/>
        <w:adjustRightInd/>
        <w:ind w:firstLine="709"/>
        <w:jc w:val="both"/>
        <w:rPr>
          <w:rFonts w:eastAsia="Calibri"/>
          <w:color w:val="000000"/>
          <w:sz w:val="28"/>
          <w:szCs w:val="28"/>
          <w:lang w:val="ru-RU"/>
        </w:rPr>
      </w:pPr>
      <w:r w:rsidRPr="0084143F">
        <w:rPr>
          <w:rFonts w:eastAsia="Calibri"/>
          <w:color w:val="000000"/>
          <w:sz w:val="28"/>
          <w:szCs w:val="28"/>
          <w:lang w:val="ru-RU"/>
        </w:rPr>
        <w:t>3)</w:t>
      </w:r>
      <w:r w:rsidRPr="0084143F">
        <w:rPr>
          <w:rFonts w:eastAsia="Calibri"/>
          <w:sz w:val="27"/>
          <w:szCs w:val="27"/>
          <w:lang w:val="ru-RU"/>
        </w:rPr>
        <w:t xml:space="preserve"> </w:t>
      </w:r>
      <w:r w:rsidRPr="0084143F">
        <w:rPr>
          <w:rFonts w:eastAsia="Calibri"/>
          <w:sz w:val="28"/>
          <w:szCs w:val="28"/>
          <w:lang w:val="ru-RU"/>
        </w:rPr>
        <w:t>приложение №</w:t>
      </w:r>
      <w:r w:rsidR="00CB7F12">
        <w:rPr>
          <w:rFonts w:eastAsia="Calibri"/>
          <w:sz w:val="28"/>
          <w:szCs w:val="28"/>
          <w:lang w:val="ru-RU"/>
        </w:rPr>
        <w:t xml:space="preserve"> </w:t>
      </w:r>
      <w:r w:rsidRPr="0084143F">
        <w:rPr>
          <w:rFonts w:eastAsia="Calibri"/>
          <w:sz w:val="28"/>
          <w:szCs w:val="28"/>
          <w:lang w:val="ru-RU"/>
        </w:rPr>
        <w:t>1 изложить в новой редакции (прилагается).</w:t>
      </w:r>
    </w:p>
    <w:p w:rsidR="0084143F" w:rsidRDefault="0084143F" w:rsidP="00CB7F12">
      <w:pPr>
        <w:adjustRightInd/>
        <w:spacing w:before="120"/>
        <w:ind w:firstLine="708"/>
        <w:jc w:val="both"/>
        <w:rPr>
          <w:rFonts w:ascii="13,5" w:eastAsia="Times New Roman" w:hAnsi="13,5"/>
          <w:sz w:val="28"/>
          <w:szCs w:val="28"/>
          <w:lang w:val="ru-RU" w:eastAsia="ru-RU"/>
        </w:rPr>
      </w:pPr>
      <w:r w:rsidRPr="0084143F">
        <w:rPr>
          <w:rFonts w:ascii="13,5" w:eastAsia="Times New Roman" w:hAnsi="13,5"/>
          <w:sz w:val="28"/>
          <w:szCs w:val="28"/>
          <w:lang w:val="ru-RU" w:eastAsia="ru-RU"/>
        </w:rPr>
        <w:t xml:space="preserve">2. </w:t>
      </w:r>
      <w:r>
        <w:rPr>
          <w:rFonts w:ascii="13,5" w:eastAsia="Times New Roman" w:hAnsi="13,5"/>
          <w:sz w:val="28"/>
          <w:szCs w:val="28"/>
          <w:lang w:val="ru-RU" w:eastAsia="ru-RU"/>
        </w:rPr>
        <w:t xml:space="preserve">    </w:t>
      </w:r>
      <w:r w:rsidRPr="0084143F">
        <w:rPr>
          <w:rFonts w:ascii="13,5" w:eastAsia="Times New Roman" w:hAnsi="13,5"/>
          <w:sz w:val="28"/>
          <w:szCs w:val="28"/>
          <w:lang w:val="ru-RU" w:eastAsia="ru-RU"/>
        </w:rPr>
        <w:t>Настоящее Решение вступает в силу со дня его подписания.</w:t>
      </w:r>
    </w:p>
    <w:p w:rsidR="0084143F" w:rsidRPr="0084143F" w:rsidRDefault="0084143F" w:rsidP="00CB7F12">
      <w:pPr>
        <w:adjustRightInd/>
        <w:spacing w:before="120"/>
        <w:ind w:firstLine="708"/>
        <w:jc w:val="both"/>
        <w:rPr>
          <w:rFonts w:ascii="13,5" w:eastAsia="Times New Roman" w:hAnsi="13,5"/>
          <w:sz w:val="28"/>
          <w:szCs w:val="28"/>
          <w:lang w:val="ru-RU" w:eastAsia="ru-RU"/>
        </w:rPr>
      </w:pPr>
      <w:r w:rsidRPr="0084143F">
        <w:rPr>
          <w:rFonts w:ascii="13,5" w:eastAsia="Times New Roman" w:hAnsi="13,5"/>
          <w:sz w:val="28"/>
          <w:szCs w:val="28"/>
          <w:lang w:val="ru-RU" w:eastAsia="ru-RU"/>
        </w:rPr>
        <w:t>3. Положения пункта 3 части 1 настоящего Решения распространяются на правоотношения, возникшие с 1 декабря 2023 года.</w:t>
      </w:r>
    </w:p>
    <w:p w:rsidR="0084143F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84143F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CB7F12" w:rsidRPr="0084143F" w:rsidRDefault="00CB7F12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84143F" w:rsidRPr="0084143F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  <w:r w:rsidRPr="0084143F">
        <w:rPr>
          <w:rFonts w:ascii="13,5" w:eastAsia="Times New Roman" w:hAnsi="13,5"/>
          <w:sz w:val="28"/>
          <w:szCs w:val="28"/>
          <w:lang w:val="ru-RU" w:eastAsia="ru-RU"/>
        </w:rPr>
        <w:t xml:space="preserve">Председатель Представительного Собрания </w:t>
      </w:r>
    </w:p>
    <w:p w:rsidR="0084143F" w:rsidRPr="0084143F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  <w:r w:rsidRPr="0084143F">
        <w:rPr>
          <w:rFonts w:ascii="13,5" w:eastAsia="Times New Roman" w:hAnsi="13,5"/>
          <w:sz w:val="28"/>
          <w:szCs w:val="28"/>
          <w:lang w:val="ru-RU" w:eastAsia="ru-RU"/>
        </w:rPr>
        <w:t>Курского района Курской области                                             А.Н. Пашутин</w:t>
      </w:r>
    </w:p>
    <w:p w:rsidR="0084143F" w:rsidRPr="0084143F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84143F" w:rsidRPr="0084143F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  <w:r w:rsidRPr="0084143F">
        <w:rPr>
          <w:rFonts w:ascii="13,5" w:eastAsia="Times New Roman" w:hAnsi="13,5"/>
          <w:sz w:val="28"/>
          <w:szCs w:val="28"/>
          <w:lang w:val="ru-RU" w:eastAsia="ru-RU"/>
        </w:rPr>
        <w:t>Глава Курского района</w:t>
      </w:r>
    </w:p>
    <w:p w:rsidR="00CB7F12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  <w:r w:rsidRPr="0084143F">
        <w:rPr>
          <w:rFonts w:ascii="13,5" w:eastAsia="Times New Roman" w:hAnsi="13,5"/>
          <w:sz w:val="28"/>
          <w:szCs w:val="28"/>
          <w:lang w:val="ru-RU" w:eastAsia="ru-RU"/>
        </w:rPr>
        <w:t>Курской области                                                                           А.В. Телегин</w:t>
      </w:r>
    </w:p>
    <w:p w:rsidR="005C1827" w:rsidRDefault="005C1827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5C1827" w:rsidRDefault="005C1827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  <w:bookmarkStart w:id="0" w:name="_GoBack"/>
      <w:bookmarkEnd w:id="0"/>
    </w:p>
    <w:p w:rsidR="00CB7F12" w:rsidRDefault="00CB7F12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B15D40" w:rsidRDefault="00B15D40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CB7F12" w:rsidRPr="0084143F" w:rsidRDefault="00CB7F12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84143F" w:rsidRPr="0084143F" w:rsidRDefault="0084143F" w:rsidP="0084143F">
      <w:pPr>
        <w:adjustRightInd/>
        <w:jc w:val="both"/>
        <w:rPr>
          <w:rFonts w:ascii="13,5" w:eastAsia="Times New Roman" w:hAnsi="13,5"/>
          <w:sz w:val="28"/>
          <w:szCs w:val="28"/>
          <w:lang w:val="ru-RU" w:eastAsia="ru-RU"/>
        </w:rPr>
      </w:pP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Приложение № 1</w:t>
      </w: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к Примерному положению об оплате</w:t>
      </w: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труда работников муниципального</w:t>
      </w: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казенного учреждения «По обеспечению</w:t>
      </w:r>
    </w:p>
    <w:p w:rsid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деятельности Администрации</w:t>
      </w: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Курского</w:t>
      </w:r>
      <w:r>
        <w:rPr>
          <w:rFonts w:eastAsia="Calibri"/>
          <w:lang w:val="ru-RU"/>
        </w:rPr>
        <w:t xml:space="preserve"> </w:t>
      </w:r>
      <w:r w:rsidRPr="0084143F">
        <w:rPr>
          <w:rFonts w:eastAsia="Calibri"/>
          <w:lang w:val="ru-RU"/>
        </w:rPr>
        <w:t>района Курской области»</w:t>
      </w: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(в редакции Решения Представительного</w:t>
      </w: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>Собрания Курского района Курской области</w:t>
      </w:r>
    </w:p>
    <w:p w:rsidR="0084143F" w:rsidRPr="0084143F" w:rsidRDefault="0084143F" w:rsidP="0084143F">
      <w:pPr>
        <w:widowControl/>
        <w:autoSpaceDE/>
        <w:autoSpaceDN/>
        <w:adjustRightInd/>
        <w:ind w:left="4253"/>
        <w:jc w:val="center"/>
        <w:rPr>
          <w:rFonts w:eastAsia="Calibri"/>
          <w:lang w:val="ru-RU"/>
        </w:rPr>
      </w:pPr>
      <w:r w:rsidRPr="0084143F">
        <w:rPr>
          <w:rFonts w:eastAsia="Calibri"/>
          <w:lang w:val="ru-RU"/>
        </w:rPr>
        <w:t xml:space="preserve">от </w:t>
      </w:r>
      <w:r>
        <w:rPr>
          <w:rFonts w:eastAsia="Calibri"/>
          <w:lang w:val="ru-RU"/>
        </w:rPr>
        <w:t>5</w:t>
      </w:r>
      <w:r w:rsidRPr="0084143F">
        <w:rPr>
          <w:rFonts w:eastAsia="Calibri"/>
          <w:lang w:val="ru-RU"/>
        </w:rPr>
        <w:t xml:space="preserve"> декабря 2023 г. №</w:t>
      </w:r>
      <w:r>
        <w:rPr>
          <w:rFonts w:eastAsia="Calibri"/>
          <w:lang w:val="ru-RU"/>
        </w:rPr>
        <w:t xml:space="preserve"> 42-4-417</w:t>
      </w:r>
      <w:r w:rsidRPr="0084143F">
        <w:rPr>
          <w:rFonts w:eastAsia="Calibri"/>
          <w:lang w:val="ru-RU"/>
        </w:rPr>
        <w:t>)</w:t>
      </w:r>
    </w:p>
    <w:p w:rsidR="0084143F" w:rsidRPr="0084143F" w:rsidRDefault="0084143F" w:rsidP="0084143F">
      <w:pPr>
        <w:widowControl/>
        <w:autoSpaceDE/>
        <w:autoSpaceDN/>
        <w:adjustRightInd/>
        <w:ind w:left="4536"/>
        <w:jc w:val="center"/>
        <w:rPr>
          <w:rFonts w:ascii="Arial" w:eastAsia="Times New Roman" w:hAnsi="Arial" w:cs="Arial"/>
          <w:color w:val="000000"/>
          <w:lang w:val="ru-RU" w:eastAsia="ru-RU"/>
        </w:rPr>
      </w:pPr>
    </w:p>
    <w:p w:rsidR="0084143F" w:rsidRPr="0084143F" w:rsidRDefault="0084143F" w:rsidP="0084143F">
      <w:pPr>
        <w:widowControl/>
        <w:autoSpaceDE/>
        <w:autoSpaceDN/>
        <w:adjustRightInd/>
        <w:ind w:firstLine="567"/>
        <w:jc w:val="both"/>
        <w:rPr>
          <w:rFonts w:ascii="Arial" w:eastAsia="Times New Roman" w:hAnsi="Arial" w:cs="Arial"/>
          <w:color w:val="000000"/>
          <w:lang w:val="ru-RU" w:eastAsia="ru-RU"/>
        </w:rPr>
      </w:pPr>
      <w:r w:rsidRPr="0084143F">
        <w:rPr>
          <w:rFonts w:ascii="Arial" w:eastAsia="Times New Roman" w:hAnsi="Arial" w:cs="Arial"/>
          <w:color w:val="000000"/>
          <w:lang w:val="ru-RU" w:eastAsia="ru-RU"/>
        </w:rPr>
        <w:t> </w:t>
      </w:r>
    </w:p>
    <w:p w:rsidR="0084143F" w:rsidRPr="0084143F" w:rsidRDefault="0084143F" w:rsidP="0084143F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val="ru-RU" w:eastAsia="ru-RU"/>
        </w:rPr>
      </w:pPr>
      <w:r w:rsidRPr="0084143F">
        <w:rPr>
          <w:rFonts w:eastAsia="Times New Roman"/>
          <w:color w:val="000000"/>
          <w:sz w:val="28"/>
          <w:szCs w:val="28"/>
          <w:lang w:val="ru-RU" w:eastAsia="ru-RU"/>
        </w:rPr>
        <w:t>Профессиональные квалификационные группы должностей руководителей, специалистов и служащих</w:t>
      </w:r>
    </w:p>
    <w:p w:rsidR="0084143F" w:rsidRPr="0084143F" w:rsidRDefault="0084143F" w:rsidP="0084143F">
      <w:pPr>
        <w:widowControl/>
        <w:autoSpaceDE/>
        <w:autoSpaceDN/>
        <w:adjustRightInd/>
        <w:ind w:left="260" w:right="1131" w:firstLine="567"/>
        <w:jc w:val="center"/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</w:pPr>
      <w:r w:rsidRPr="0084143F">
        <w:rPr>
          <w:rFonts w:ascii="Arial" w:eastAsia="Times New Roman" w:hAnsi="Arial" w:cs="Arial"/>
          <w:color w:val="000000"/>
          <w:sz w:val="32"/>
          <w:szCs w:val="32"/>
          <w:lang w:val="ru-RU" w:eastAsia="ru-RU"/>
        </w:rPr>
        <w:t> </w:t>
      </w:r>
    </w:p>
    <w:tbl>
      <w:tblPr>
        <w:tblW w:w="8932" w:type="dxa"/>
        <w:tblInd w:w="1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8"/>
        <w:gridCol w:w="3741"/>
        <w:gridCol w:w="2573"/>
      </w:tblGrid>
      <w:tr w:rsidR="0084143F" w:rsidRPr="0084143F" w:rsidTr="00FC7F14">
        <w:trPr>
          <w:tblHeader/>
        </w:trPr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Квалификационный 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Наименование должностей, отнесенных к квалификационным уровням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Должностной оклад (рублей)</w:t>
            </w:r>
          </w:p>
        </w:tc>
      </w:tr>
      <w:tr w:rsidR="0084143F" w:rsidRPr="005C1827" w:rsidTr="00FC7F14">
        <w:tc>
          <w:tcPr>
            <w:tcW w:w="8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1. Профессиональная квалификационная группа «Общеотраслевые должности служащих первого уровня»</w:t>
            </w:r>
          </w:p>
        </w:tc>
      </w:tr>
      <w:tr w:rsidR="0084143F" w:rsidRPr="0084143F" w:rsidTr="00FC7F14"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Руководители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Директор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9762,00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Заместитель директора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8786,00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Заместитель директора по общим вопросам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8786,00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Главный бухгалтер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8786,00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Заместитель главного бухгалтера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7846,00</w:t>
            </w:r>
          </w:p>
        </w:tc>
      </w:tr>
      <w:tr w:rsidR="0084143F" w:rsidRPr="0084143F" w:rsidTr="00FC7F14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1 квалификационный</w:t>
            </w:r>
          </w:p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Архивариус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4881,00</w:t>
            </w:r>
          </w:p>
        </w:tc>
      </w:tr>
      <w:tr w:rsidR="0084143F" w:rsidRPr="005C1827" w:rsidTr="00FC7F14">
        <w:tc>
          <w:tcPr>
            <w:tcW w:w="8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2.  Профессиональная квалификационная группа «Общеотраслевые должности служащих второго уровня»:</w:t>
            </w:r>
          </w:p>
        </w:tc>
      </w:tr>
      <w:tr w:rsidR="0084143F" w:rsidRPr="0084143F" w:rsidTr="00FC7F14"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1 квалификационный</w:t>
            </w:r>
          </w:p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Техник - программист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5115,00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Оперативный дежурный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4881,00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Диспетчер системы 112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4881,00</w:t>
            </w:r>
          </w:p>
        </w:tc>
      </w:tr>
      <w:tr w:rsidR="0084143F" w:rsidRPr="005C1827" w:rsidTr="00FC7F14">
        <w:tc>
          <w:tcPr>
            <w:tcW w:w="8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3. Профессиональная квалификационная группа «Общеотраслевые должности третьего уровня»:</w:t>
            </w:r>
          </w:p>
        </w:tc>
      </w:tr>
      <w:tr w:rsidR="0084143F" w:rsidRPr="0084143F" w:rsidTr="00FC7F14"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1 квалификационный</w:t>
            </w:r>
          </w:p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Инженер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6044,00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Инженер - программист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6044,00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Специалист по связям с общественностью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6159,00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Экономист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6044,00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Юрисконсульт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6044,00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Инженер по охране труда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6044,00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Инспектор по кадрам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6044,00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Инженер-электрик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6044,00</w:t>
            </w:r>
          </w:p>
        </w:tc>
      </w:tr>
      <w:tr w:rsidR="0084143F" w:rsidRPr="0084143F" w:rsidTr="00FC7F14"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lastRenderedPageBreak/>
              <w:t>3 квалификационный 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Специалист 1 категории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6684,00</w:t>
            </w:r>
          </w:p>
        </w:tc>
      </w:tr>
      <w:tr w:rsidR="0084143F" w:rsidRPr="0084143F" w:rsidTr="00FC7F14"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 квалификационный уровень</w:t>
            </w:r>
          </w:p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 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Ведущий специалист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6684,00</w:t>
            </w:r>
          </w:p>
        </w:tc>
      </w:tr>
      <w:tr w:rsidR="0084143F" w:rsidRPr="0084143F" w:rsidTr="00FC7F14">
        <w:tc>
          <w:tcPr>
            <w:tcW w:w="26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Ведущий специалист ГО и ЧС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6684,00</w:t>
            </w:r>
          </w:p>
        </w:tc>
      </w:tr>
      <w:tr w:rsidR="0084143F" w:rsidRPr="005C1827" w:rsidTr="00FC7F14">
        <w:tc>
          <w:tcPr>
            <w:tcW w:w="8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4. Профессиональная квалификационная группа « Общеотраслевые должности служащих четвертого уровня»:</w:t>
            </w:r>
          </w:p>
        </w:tc>
      </w:tr>
      <w:tr w:rsidR="0084143F" w:rsidRPr="0084143F" w:rsidTr="00FC7F14"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1 квалификационный</w:t>
            </w:r>
          </w:p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Начальник ЕДДС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6684,00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Начальник отдела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8717,00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Заместитель начальника отдела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7554,00</w:t>
            </w:r>
          </w:p>
        </w:tc>
      </w:tr>
      <w:tr w:rsidR="0084143F" w:rsidRPr="005C1827" w:rsidTr="00FC7F14">
        <w:tc>
          <w:tcPr>
            <w:tcW w:w="8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Профессиональные квалификационные группы общеотраслевых профессий рабочих</w:t>
            </w:r>
          </w:p>
        </w:tc>
      </w:tr>
      <w:tr w:rsidR="0084143F" w:rsidRPr="005C1827" w:rsidTr="00FC7F14">
        <w:tc>
          <w:tcPr>
            <w:tcW w:w="8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1. Профессиональная квалификационная группа «Общеотраслевые профессии рабочих первого уровня»</w:t>
            </w:r>
          </w:p>
        </w:tc>
      </w:tr>
      <w:tr w:rsidR="0084143F" w:rsidRPr="0084143F" w:rsidTr="00FC7F14"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1 квалификационный</w:t>
            </w:r>
          </w:p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Уборщик служебных помещений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2964,00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Дворник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2964,00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Старший сторож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3092,00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Сторож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2964,00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Оператор газовой котельной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4881,00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Старший оператор газовой котельной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4881,00</w:t>
            </w:r>
          </w:p>
        </w:tc>
      </w:tr>
      <w:tr w:rsidR="0084143F" w:rsidRPr="005C1827" w:rsidTr="00FC7F14">
        <w:tc>
          <w:tcPr>
            <w:tcW w:w="89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2. Профессиональная квалификационная группа «Общеотраслевые профессии рабочих второго уровня»</w:t>
            </w:r>
          </w:p>
        </w:tc>
      </w:tr>
      <w:tr w:rsidR="0084143F" w:rsidRPr="0084143F" w:rsidTr="00FC7F14">
        <w:tc>
          <w:tcPr>
            <w:tcW w:w="26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1 квалификационный</w:t>
            </w:r>
          </w:p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Водитель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3835,00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Старший водитель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3894,00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Механик - водитель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4302,00</w:t>
            </w:r>
          </w:p>
        </w:tc>
      </w:tr>
      <w:tr w:rsidR="0084143F" w:rsidRPr="0084143F" w:rsidTr="00FC7F1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3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Механик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143F" w:rsidRPr="0084143F" w:rsidRDefault="0084143F" w:rsidP="0084143F">
            <w:pPr>
              <w:widowControl/>
              <w:autoSpaceDE/>
              <w:autoSpaceDN/>
              <w:adjustRightInd/>
              <w:rPr>
                <w:rFonts w:eastAsia="Times New Roman"/>
                <w:sz w:val="28"/>
                <w:szCs w:val="28"/>
                <w:lang w:val="ru-RU" w:eastAsia="ru-RU"/>
              </w:rPr>
            </w:pPr>
            <w:r w:rsidRPr="0084143F">
              <w:rPr>
                <w:rFonts w:eastAsia="Times New Roman"/>
                <w:sz w:val="28"/>
                <w:szCs w:val="28"/>
                <w:lang w:val="ru-RU" w:eastAsia="ru-RU"/>
              </w:rPr>
              <w:t>4302,00</w:t>
            </w:r>
          </w:p>
        </w:tc>
      </w:tr>
    </w:tbl>
    <w:p w:rsidR="0084143F" w:rsidRDefault="0084143F" w:rsidP="00097CEC">
      <w:pPr>
        <w:rPr>
          <w:rFonts w:eastAsia="Times New Roman"/>
          <w:sz w:val="28"/>
          <w:szCs w:val="28"/>
          <w:lang w:val="ru-RU"/>
        </w:rPr>
      </w:pPr>
    </w:p>
    <w:p w:rsidR="00097CEC" w:rsidRDefault="00097CEC" w:rsidP="00097CEC">
      <w:pPr>
        <w:rPr>
          <w:lang w:val="ru-RU"/>
        </w:rPr>
      </w:pPr>
    </w:p>
    <w:p w:rsidR="005A770F" w:rsidRPr="00097CEC" w:rsidRDefault="005A770F">
      <w:pPr>
        <w:rPr>
          <w:lang w:val="ru-RU"/>
        </w:rPr>
      </w:pPr>
    </w:p>
    <w:sectPr w:rsidR="005A770F" w:rsidRPr="00097CEC" w:rsidSect="0084143F">
      <w:headerReference w:type="default" r:id="rId8"/>
      <w:pgSz w:w="11906" w:h="16838"/>
      <w:pgMar w:top="1134" w:right="1133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B3C" w:rsidRDefault="008C3B3C" w:rsidP="0084143F">
      <w:r>
        <w:separator/>
      </w:r>
    </w:p>
  </w:endnote>
  <w:endnote w:type="continuationSeparator" w:id="0">
    <w:p w:rsidR="008C3B3C" w:rsidRDefault="008C3B3C" w:rsidP="00841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13,5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B3C" w:rsidRDefault="008C3B3C" w:rsidP="0084143F">
      <w:r>
        <w:separator/>
      </w:r>
    </w:p>
  </w:footnote>
  <w:footnote w:type="continuationSeparator" w:id="0">
    <w:p w:rsidR="008C3B3C" w:rsidRDefault="008C3B3C" w:rsidP="00841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40010"/>
      <w:docPartObj>
        <w:docPartGallery w:val="Page Numbers (Top of Page)"/>
        <w:docPartUnique/>
      </w:docPartObj>
    </w:sdtPr>
    <w:sdtEndPr/>
    <w:sdtContent>
      <w:p w:rsidR="0084143F" w:rsidRDefault="008414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827" w:rsidRPr="005C1827">
          <w:rPr>
            <w:noProof/>
            <w:lang w:val="ru-RU"/>
          </w:rPr>
          <w:t>5</w:t>
        </w:r>
        <w:r>
          <w:fldChar w:fldCharType="end"/>
        </w:r>
      </w:p>
    </w:sdtContent>
  </w:sdt>
  <w:p w:rsidR="0084143F" w:rsidRDefault="008414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EC"/>
    <w:rsid w:val="00097CEC"/>
    <w:rsid w:val="005A770F"/>
    <w:rsid w:val="005C1827"/>
    <w:rsid w:val="0084143F"/>
    <w:rsid w:val="008C3B3C"/>
    <w:rsid w:val="00B15D40"/>
    <w:rsid w:val="00CB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812A6"/>
  <w15:chartTrackingRefBased/>
  <w15:docId w15:val="{3016677D-4F13-43E5-868D-6CDEC6844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43F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841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4143F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2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9CF4EC8E-759E-41A6-A811-EE9FB837E39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A7EF6FD1-92A5-4AA7-862E-C5ECB5D9556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4</cp:revision>
  <dcterms:created xsi:type="dcterms:W3CDTF">2023-11-30T12:45:00Z</dcterms:created>
  <dcterms:modified xsi:type="dcterms:W3CDTF">2023-12-06T07:50:00Z</dcterms:modified>
</cp:coreProperties>
</file>