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7B" w:rsidRPr="004B6E7B" w:rsidRDefault="004B6E7B" w:rsidP="004B6E7B">
      <w:pPr>
        <w:shd w:val="clear" w:color="auto" w:fill="EEEEEE"/>
        <w:spacing w:after="150" w:line="240" w:lineRule="auto"/>
        <w:jc w:val="center"/>
        <w:rPr>
          <w:rFonts w:ascii="Tahoma" w:eastAsia="Times New Roman" w:hAnsi="Tahoma" w:cs="Tahoma"/>
          <w:b/>
          <w:bCs/>
          <w:color w:val="000000"/>
          <w:sz w:val="14"/>
          <w:szCs w:val="14"/>
          <w:lang w:eastAsia="ru-RU"/>
        </w:rPr>
      </w:pPr>
      <w:r w:rsidRPr="004B6E7B">
        <w:rPr>
          <w:rFonts w:ascii="Tahoma" w:eastAsia="Times New Roman" w:hAnsi="Tahoma" w:cs="Tahoma"/>
          <w:b/>
          <w:bCs/>
          <w:color w:val="000000"/>
          <w:sz w:val="14"/>
          <w:szCs w:val="14"/>
          <w:lang w:eastAsia="ru-RU"/>
        </w:rPr>
        <w:t>РАСПОРЯЖЕНИЕ от 2 июня 2016 г. N 1083-р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ПРАВИТЕЛЬСТВО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РАСПОРЯЖЕНИЕ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 2 июня 2016 г. N 1083-р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4B6E7B" w:rsidRPr="004B6E7B" w:rsidTr="004B6E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Список изменяющих документов</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 ред. распоряжений Правительства РФ от 08.12.2016 </w:t>
            </w:r>
            <w:hyperlink r:id="rId5" w:history="1">
              <w:r w:rsidRPr="004B6E7B">
                <w:rPr>
                  <w:rFonts w:ascii="Times New Roman" w:eastAsia="Times New Roman" w:hAnsi="Times New Roman" w:cs="Times New Roman"/>
                  <w:color w:val="33A6E3"/>
                  <w:sz w:val="12"/>
                  <w:lang w:eastAsia="ru-RU"/>
                </w:rPr>
                <w:t>N 2623-р</w:t>
              </w:r>
            </w:hyperlink>
            <w:r w:rsidRPr="004B6E7B">
              <w:rPr>
                <w:rFonts w:ascii="Times New Roman" w:eastAsia="Times New Roman" w:hAnsi="Times New Roman" w:cs="Times New Roman"/>
                <w:sz w:val="12"/>
                <w:szCs w:val="12"/>
                <w:lang w:eastAsia="ru-RU"/>
              </w:rPr>
              <w:t>,</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от 30.03.2018 </w:t>
            </w:r>
            <w:hyperlink r:id="rId6" w:history="1">
              <w:r w:rsidRPr="004B6E7B">
                <w:rPr>
                  <w:rFonts w:ascii="Times New Roman" w:eastAsia="Times New Roman" w:hAnsi="Times New Roman" w:cs="Times New Roman"/>
                  <w:color w:val="33A6E3"/>
                  <w:sz w:val="12"/>
                  <w:lang w:eastAsia="ru-RU"/>
                </w:rPr>
                <w:t>N 547-р</w:t>
              </w:r>
            </w:hyperlink>
            <w:r w:rsidRPr="004B6E7B">
              <w:rPr>
                <w:rFonts w:ascii="Times New Roman" w:eastAsia="Times New Roman" w:hAnsi="Times New Roman" w:cs="Times New Roman"/>
                <w:sz w:val="12"/>
                <w:szCs w:val="12"/>
                <w:lang w:eastAsia="ru-RU"/>
              </w:rPr>
              <w:t>)</w:t>
            </w:r>
          </w:p>
        </w:tc>
      </w:tr>
    </w:tbl>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1. Утвердить прилагаемые: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hyperlink r:id="rId7" w:anchor="P28" w:history="1">
        <w:r w:rsidRPr="004B6E7B">
          <w:rPr>
            <w:rFonts w:ascii="Tahoma" w:eastAsia="Times New Roman" w:hAnsi="Tahoma" w:cs="Tahoma"/>
            <w:color w:val="33A6E3"/>
            <w:sz w:val="12"/>
            <w:lang w:eastAsia="ru-RU"/>
          </w:rPr>
          <w:t>Стратегию</w:t>
        </w:r>
      </w:hyperlink>
      <w:r w:rsidRPr="004B6E7B">
        <w:rPr>
          <w:rFonts w:ascii="Tahoma" w:eastAsia="Times New Roman" w:hAnsi="Tahoma" w:cs="Tahoma"/>
          <w:color w:val="000000"/>
          <w:sz w:val="12"/>
          <w:szCs w:val="12"/>
          <w:lang w:eastAsia="ru-RU"/>
        </w:rPr>
        <w:t> развития малого и среднего предпринимательства в Российской Федерации на период до 2030 года (далее - Стратегия);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hyperlink r:id="rId8" w:anchor="P676" w:history="1">
        <w:r w:rsidRPr="004B6E7B">
          <w:rPr>
            <w:rFonts w:ascii="Tahoma" w:eastAsia="Times New Roman" w:hAnsi="Tahoma" w:cs="Tahoma"/>
            <w:color w:val="33A6E3"/>
            <w:sz w:val="12"/>
            <w:lang w:eastAsia="ru-RU"/>
          </w:rPr>
          <w:t>план</w:t>
        </w:r>
      </w:hyperlink>
      <w:r w:rsidRPr="004B6E7B">
        <w:rPr>
          <w:rFonts w:ascii="Tahoma" w:eastAsia="Times New Roman" w:hAnsi="Tahoma" w:cs="Tahoma"/>
          <w:color w:val="000000"/>
          <w:sz w:val="12"/>
          <w:szCs w:val="12"/>
          <w:lang w:eastAsia="ru-RU"/>
        </w:rPr>
        <w:t>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 Федеральным органам исполнительной власти руководствоваться положениями </w:t>
      </w:r>
      <w:hyperlink r:id="rId9" w:anchor="P28" w:history="1">
        <w:r w:rsidRPr="004B6E7B">
          <w:rPr>
            <w:rFonts w:ascii="Tahoma" w:eastAsia="Times New Roman" w:hAnsi="Tahoma" w:cs="Tahoma"/>
            <w:color w:val="33A6E3"/>
            <w:sz w:val="12"/>
            <w:lang w:eastAsia="ru-RU"/>
          </w:rPr>
          <w:t>Стратегии</w:t>
        </w:r>
      </w:hyperlink>
      <w:r w:rsidRPr="004B6E7B">
        <w:rPr>
          <w:rFonts w:ascii="Tahoma" w:eastAsia="Times New Roman" w:hAnsi="Tahoma" w:cs="Tahoma"/>
          <w:color w:val="000000"/>
          <w:sz w:val="12"/>
          <w:szCs w:val="12"/>
          <w:lang w:eastAsia="ru-RU"/>
        </w:rPr>
        <w:t> при разработке и реализации государственных программ (подпрограмм) Российской Федерации и иных программных и плановых документов.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3. Рекомендовать органам исполнительной власти субъектов Российской Федерации и органам местного самоуправления учитывать положения </w:t>
      </w:r>
      <w:hyperlink r:id="rId10" w:anchor="P28" w:history="1">
        <w:r w:rsidRPr="004B6E7B">
          <w:rPr>
            <w:rFonts w:ascii="Tahoma" w:eastAsia="Times New Roman" w:hAnsi="Tahoma" w:cs="Tahoma"/>
            <w:color w:val="33A6E3"/>
            <w:sz w:val="12"/>
            <w:lang w:eastAsia="ru-RU"/>
          </w:rPr>
          <w:t>Стратегии</w:t>
        </w:r>
      </w:hyperlink>
      <w:r w:rsidRPr="004B6E7B">
        <w:rPr>
          <w:rFonts w:ascii="Tahoma" w:eastAsia="Times New Roman" w:hAnsi="Tahoma" w:cs="Tahoma"/>
          <w:color w:val="000000"/>
          <w:sz w:val="12"/>
          <w:szCs w:val="12"/>
          <w:lang w:eastAsia="ru-RU"/>
        </w:rPr>
        <w:t> при принятии в пределах своей компетенции решений о мерах стимулирования развития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Председатель Правительства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Д.МЕДВЕДЕВ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Утверждена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распоряжением Правительства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 2 июня 2016 г. N 1083-р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РАЗВИТИЯ МАЛОГО И СРЕДНЕГО ПРЕДПРИНИМАТЕЛЬСТВА В РОССИЙСКОЙ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ФЕДЕРАЦИИ НА ПЕРИОД ДО 2030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4B6E7B" w:rsidRPr="004B6E7B" w:rsidTr="004B6E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Список изменяющих документов</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 ред. </w:t>
            </w:r>
            <w:hyperlink r:id="rId11" w:history="1">
              <w:r w:rsidRPr="004B6E7B">
                <w:rPr>
                  <w:rFonts w:ascii="Times New Roman" w:eastAsia="Times New Roman" w:hAnsi="Times New Roman" w:cs="Times New Roman"/>
                  <w:color w:val="33A6E3"/>
                  <w:sz w:val="12"/>
                  <w:lang w:eastAsia="ru-RU"/>
                </w:rPr>
                <w:t>распоряжения</w:t>
              </w:r>
            </w:hyperlink>
            <w:r w:rsidRPr="004B6E7B">
              <w:rPr>
                <w:rFonts w:ascii="Times New Roman" w:eastAsia="Times New Roman" w:hAnsi="Times New Roman" w:cs="Times New Roman"/>
                <w:sz w:val="12"/>
                <w:szCs w:val="12"/>
                <w:lang w:eastAsia="ru-RU"/>
              </w:rPr>
              <w:t> Правительства РФ от 08.12.2016 N 2623-р)</w:t>
            </w:r>
          </w:p>
        </w:tc>
      </w:tr>
    </w:tbl>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I. Общие положения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12" w:history="1">
        <w:r w:rsidRPr="004B6E7B">
          <w:rPr>
            <w:rFonts w:ascii="Tahoma" w:eastAsia="Times New Roman" w:hAnsi="Tahoma" w:cs="Tahoma"/>
            <w:color w:val="33A6E3"/>
            <w:sz w:val="12"/>
            <w:lang w:eastAsia="ru-RU"/>
          </w:rPr>
          <w:t>законом</w:t>
        </w:r>
      </w:hyperlink>
      <w:r w:rsidRPr="004B6E7B">
        <w:rPr>
          <w:rFonts w:ascii="Tahoma" w:eastAsia="Times New Roman" w:hAnsi="Tahoma" w:cs="Tahoma"/>
          <w:color w:val="000000"/>
          <w:sz w:val="12"/>
          <w:szCs w:val="12"/>
          <w:lang w:eastAsia="ru-RU"/>
        </w:rPr>
        <w:t> от 28 июня 2014 г. N 172-ФЗ "О стратегическом планировании 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II. Современное состояние и проблемы развития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 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малых предприятий предусмотрены специальные налоговые режимы, позволяющие оптимизировать систему учета и налоговых платежей.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Остается низкой инновационная и инвестиционная активность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w:t>
      </w:r>
      <w:r w:rsidRPr="004B6E7B">
        <w:rPr>
          <w:rFonts w:ascii="Tahoma" w:eastAsia="Times New Roman" w:hAnsi="Tahoma" w:cs="Tahoma"/>
          <w:color w:val="000000"/>
          <w:sz w:val="12"/>
          <w:szCs w:val="12"/>
          <w:lang w:eastAsia="ru-RU"/>
        </w:rPr>
        <w:lastRenderedPageBreak/>
        <w:t>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III. Миссия и цель Стратегии. Принципы реализации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Базовыми индикаторами достижения указанной цели в 2030 году выступают:</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в 2,5 раза оборота малых и средних предприятий в постоянных ценах по отношению к 2014 году (в реальном выражении);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доли занятого населения в секторе малого и среднего предпринимательства в общей численности занятого населения до 35 процентов.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Перечень целевых индикаторов реализации Стратегии приведен в </w:t>
      </w:r>
      <w:hyperlink r:id="rId13" w:anchor="P493" w:history="1">
        <w:r w:rsidRPr="004B6E7B">
          <w:rPr>
            <w:rFonts w:ascii="Tahoma" w:eastAsia="Times New Roman" w:hAnsi="Tahoma" w:cs="Tahoma"/>
            <w:color w:val="33A6E3"/>
            <w:sz w:val="12"/>
            <w:lang w:eastAsia="ru-RU"/>
          </w:rPr>
          <w:t>приложении</w:t>
        </w:r>
      </w:hyperlink>
      <w:r w:rsidRPr="004B6E7B">
        <w:rPr>
          <w:rFonts w:ascii="Tahoma" w:eastAsia="Times New Roman" w:hAnsi="Tahoma" w:cs="Tahoma"/>
          <w:color w:val="000000"/>
          <w:sz w:val="12"/>
          <w:szCs w:val="12"/>
          <w:lang w:eastAsia="ru-RU"/>
        </w:rPr>
        <w:t>.</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Стратегии основывается на следующих принципах: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IV. Способы и механизмы достижения цели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1. Интеграция функций поддержки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частности, Корпорацией будет обеспечено решение следующих задач:</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совершенствования мер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 этом Корпорация выступит системным интегратором мер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Корпорация также осуществит реализацию системных проектов в области пропаганды и популяризации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Корпорацией будут предложены новые сервисы для создания и ведения бизнеса, в том числе с использованием мобильных устройств.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 Стимулирование спроса на продукцию малых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конкуренции на локальных рынках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 этой целью в субъектах Российской Федерации предусматривается внедрение стандарта развития конкуренции.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Поддержка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социальной сфере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Большой потенциал для развития малого и среднего предпринимательства существует в социальной сфере.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доступа малых и средних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предприятий к закупкам товаров, работ, услуг организациями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государственного сектора экономики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повышение прозрачности закупок товаров, работ, услуг отдельными видами юридических лиц;</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сокращение издержек потенциальных поставщиков в связи с участием в закупках за счет широкого внедрения технологий электронных торгов;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проведение регулярного анализа потребностей заказчиков в привлечении к исполнению заказов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организацию методического содействия малым и средним предприятиям для участия в закупках;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разработку и реализацию программ партнерства между заказчиками и малыми и средними предприятиями.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торговли и потребительского рынка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потребительского рынка будет осуществляться по следующим направлениям: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реализации права предпринимателей на осуществление торговли в разрешенных законодательством Российской Федерации местах;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дополнительных показателей, характеризующих обеспечение жителей услугами торговли;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ярмарочной торговли и максимальное упрощение всех процедур для организации и проведения ярмарок и участия в них;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автоматизированных форм торговли;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многоформатной торговой инфраструктуры, прежде всего несетевых объектов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франчайзинга, снижающего риски начинающих предпринимателей в сфере услуг и торговли, поддержка франшиз.</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Стимулирование спроса на продукцию малых и средних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предприятий на основе повышения ее качества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связи с этим предусматривается реализация мер по следующим направлениям: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3. Создание условий для повышения производительности труда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малых и средних предприятиях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инфраструктуры поддержки субъектов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малого и среднего предпринимательства, осуществляющих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инновационную деятельность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Стимулирование кооперации малых и средних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предприятий и крупных предприятий в области обрабатывающих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производств и высокотехнологичных услуг</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Совершенствование системы поддержки экспортной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Поддержка технологического развития и импортозамещения,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Национальной технологической инициативы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Отдельные виды инноваций могут быть разработаны и успешно внедрены с участием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Перспективными направлениями такой работы являются: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тиражирование лучших практик импортозамещения, актуальных для российского рынка;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4. Обеспечение доступности финансовых ресурсов для малых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Стимулирование коммерческих банков к расширению</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кредитования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механизмов электронного документооборота при кредитовании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программ кредитования субъектов малого и среднего предпринимательства, реализуемых кредитными организациями;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разработка системы стандартов кредитования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микрофинансирования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национальной гарантийной системы поддержки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будет продолжена начатая в 2014 году работа по развитию </w:t>
      </w:r>
      <w:hyperlink r:id="rId14" w:history="1">
        <w:r w:rsidRPr="004B6E7B">
          <w:rPr>
            <w:rFonts w:ascii="Tahoma" w:eastAsia="Times New Roman" w:hAnsi="Tahoma" w:cs="Tahoma"/>
            <w:color w:val="33A6E3"/>
            <w:sz w:val="12"/>
            <w:lang w:eastAsia="ru-RU"/>
          </w:rPr>
          <w:t>национальной гарантийной системы</w:t>
        </w:r>
      </w:hyperlink>
      <w:r w:rsidRPr="004B6E7B">
        <w:rPr>
          <w:rFonts w:ascii="Tahoma" w:eastAsia="Times New Roman" w:hAnsi="Tahoma" w:cs="Tahoma"/>
          <w:color w:val="000000"/>
          <w:sz w:val="12"/>
          <w:szCs w:val="12"/>
          <w:lang w:eastAsia="ru-RU"/>
        </w:rPr>
        <w:t>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Выделены следующие ориентиры развития национальной гарантийной системы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улучшение условий кредитования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объемов долгосрочного кредитования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увеличение количества банковских продуктов, целевой аудиторией которых являются малые и средние предприятия;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повышение эффективности расходов бюджетов, направляемых на финансирование деятельности гарантийных организаций.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секьюритизации пулов кредитов, обеспеченных гарантийной поддержкой.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2017 - 2018 годы - этап активного роста путем стимулирования кредитования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долгосрочного 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рынка секьюритизации кредитов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лизинга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факторинга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системы стандартов факторинга и принципов оценки кредитного риска;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практики использования факторинговых схем при исполнении контрактов для нужд государственного сектора экономики;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содействие развитию электронных площадок для осуществления сделок в рамках факторинга.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программ субсидирования затрат субъектов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ред. </w:t>
      </w:r>
      <w:hyperlink r:id="rId15" w:history="1">
        <w:r w:rsidRPr="004B6E7B">
          <w:rPr>
            <w:rFonts w:ascii="Tahoma" w:eastAsia="Times New Roman" w:hAnsi="Tahoma" w:cs="Tahoma"/>
            <w:color w:val="33A6E3"/>
            <w:sz w:val="12"/>
            <w:lang w:eastAsia="ru-RU"/>
          </w:rPr>
          <w:t>распоряжения</w:t>
        </w:r>
      </w:hyperlink>
      <w:r w:rsidRPr="004B6E7B">
        <w:rPr>
          <w:rFonts w:ascii="Tahoma" w:eastAsia="Times New Roman" w:hAnsi="Tahoma" w:cs="Tahoma"/>
          <w:color w:val="000000"/>
          <w:sz w:val="12"/>
          <w:szCs w:val="12"/>
          <w:lang w:eastAsia="ru-RU"/>
        </w:rPr>
        <w:t> Правительства РФ от 08.12.2016 N 2623-р)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инструментов прямого 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новых инструментов финансирования малых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5. Совершенствование политики в области налогообложения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неналоговых платежей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стабильность и предсказуемость;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ориентация на реальные потребности субъектов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сбалансированность фискального и стимулирующего действия налогов;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активное вовлечение бизнеса в процесс обсуждения налоговых инициатив.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6. Повышение качества государственного регулирования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сфере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Сокращение административной нагрузки на малые и средние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предприятия со стороны контрольно-надзорных органов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Малые и средние предприятия несут высокие издержки при выполнении требований контрольно-надзорных органов.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формирование и ведение единого реестра проверок;</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3-летнего моратория на проведение плановых проверок в отношении субъектов малого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апробацию риск-ориентированного подхода при осуществлении государственного контроля (надзора) и муниципального контроля в отдельных сферах;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практики применения риск-ориентированного подхода при проведении мероприятий по контролю (надзору);</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форм и методов осуществления контрольно-надзорной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методов оценки результативности и эффективности осуществления контрольно-надзорной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Соответствующие мероприятия предусмотрены в рамках </w:t>
      </w:r>
      <w:hyperlink r:id="rId16" w:history="1">
        <w:r w:rsidRPr="004B6E7B">
          <w:rPr>
            <w:rFonts w:ascii="Tahoma" w:eastAsia="Times New Roman" w:hAnsi="Tahoma" w:cs="Tahoma"/>
            <w:color w:val="33A6E3"/>
            <w:sz w:val="12"/>
            <w:lang w:eastAsia="ru-RU"/>
          </w:rPr>
          <w:t>плана</w:t>
        </w:r>
      </w:hyperlink>
      <w:r w:rsidRPr="004B6E7B">
        <w:rPr>
          <w:rFonts w:ascii="Tahoma" w:eastAsia="Times New Roman" w:hAnsi="Tahoma" w:cs="Tahoma"/>
          <w:color w:val="000000"/>
          <w:sz w:val="12"/>
          <w:szCs w:val="12"/>
          <w:lang w:eastAsia="ru-RU"/>
        </w:rPr>
        <w:t>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Неотъемлемыми условиями для снижения издержек малых и средних предприятий в рассматриваемой сфере должны стать: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проведение систематической разъяснительной работы в отношении содержания обязательных требований и планируемых изменений;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расширение практики применения мер по вынесению предупреждения в случае выявления нарушений законодательства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Развитие рынка труда и обеспечение легализации работников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Кроме того, необходимо проработать вопрос о закреплении нового правового статуса граждан, относящихся к категории самозанятых граждан.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Устранение административных барьеров в сфере подключения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объектов к сетям инженерно-технического обеспечения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Дополнительно предстоит принять следующие решения: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 утверждении типовых форм договоров на подключение объектов к системам водоснабжения, водоотведения, теплоснабжения, газоснабжения.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Упрощение процедур доступа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 использованию объектов движимого и недвижимого имущества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укрепления имущественной основы для ведения предпринимательской деятельности предстоит:</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разработать дополнительные механизмы снижения арендных ставок;</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повысить уровень информированности предпринимателей о возможностях получения имущественной поддержки;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сформировать стандарты оказания имущественной поддержки субъектам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и развитие единой информационно-сервисной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инфраструктуры для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Упрощение отчетности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интерактивных сервисов для взаимодействия между предпринимателями и органами государственной власти и местного самоуправления.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Продолжится работа по дальнейшему упрощению правил ведения бухгалтерского учета на малых и средних предприятиях.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механизмов обратной связи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общественного мониторинга решений в сфере развития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7. Стимулирование развития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отдельных территориях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эффективной политики по развитию</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малого и среднего предпринимательства в субъектах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малого или среднего предприятия - это всегда развитие конкретного предприятия на определенной территории.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выделение региональных отраслевых точек роста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и развитие объектов инфраструктуры поддержки субъектов малого и среднего предпринимательства (в том числе межрегиональных);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предоставление льгот по налогам в рамках специальных налоговых режимов;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выделение территорий опережающего развития и содействие развитию кластеров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оказание имущественной поддержки субъектам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учет потенциала для развития малых и средних предприятий при территориальном планировании.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монопрофильных муниципальных образованиях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поддержка предпринимательской активности за счет реализации мер прямой поддержки бизнес-проектов и мер по развитию бизнес-инфраструктуры в рамках деятельности Фонда развития моногородов.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8. Укрепление кадрового и предпринимательского потенциала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механизмов подготовки квалифицированных кадров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для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рамках реализации Стратегии будут обеспечены: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внедрение программ повышения квалификации и профессиональной переподготовки работников малых и средних предприятий;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Раскрытие предпринимательского потенциала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объявление 2018 года Годом предпринимательства 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развитие системы адаптации высвобождаемых с крупных предприятий работников и их переобучение основам предпринимательской деятельности.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V. Механизмы реализации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1. Организационное обеспечение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2. Обеспечение мониторинга и корректировки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7" w:history="1">
        <w:r w:rsidRPr="004B6E7B">
          <w:rPr>
            <w:rFonts w:ascii="Tahoma" w:eastAsia="Times New Roman" w:hAnsi="Tahoma" w:cs="Tahoma"/>
            <w:color w:val="33A6E3"/>
            <w:sz w:val="12"/>
            <w:lang w:eastAsia="ru-RU"/>
          </w:rPr>
          <w:t>статьей 9</w:t>
        </w:r>
      </w:hyperlink>
      <w:r w:rsidRPr="004B6E7B">
        <w:rPr>
          <w:rFonts w:ascii="Tahoma" w:eastAsia="Times New Roman" w:hAnsi="Tahoma" w:cs="Tahoma"/>
          <w:color w:val="000000"/>
          <w:sz w:val="12"/>
          <w:szCs w:val="12"/>
          <w:lang w:eastAsia="ru-RU"/>
        </w:rPr>
        <w:t> Федерального закона от 24 июля 2007 г. N 209-ФЗ "О развитии малого и среднего предпринимательства 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Отчетная информация о реализации Стратегии будет также формироваться в соответствии с </w:t>
      </w:r>
      <w:hyperlink r:id="rId18" w:history="1">
        <w:r w:rsidRPr="004B6E7B">
          <w:rPr>
            <w:rFonts w:ascii="Tahoma" w:eastAsia="Times New Roman" w:hAnsi="Tahoma" w:cs="Tahoma"/>
            <w:color w:val="33A6E3"/>
            <w:sz w:val="12"/>
            <w:lang w:eastAsia="ru-RU"/>
          </w:rPr>
          <w:t>Правилами</w:t>
        </w:r>
      </w:hyperlink>
      <w:r w:rsidRPr="004B6E7B">
        <w:rPr>
          <w:rFonts w:ascii="Tahoma" w:eastAsia="Times New Roman" w:hAnsi="Tahoma" w:cs="Tahoma"/>
          <w:color w:val="000000"/>
          <w:sz w:val="12"/>
          <w:szCs w:val="12"/>
          <w:lang w:eastAsia="ru-RU"/>
        </w:rPr>
        <w:t>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r:id="rId19" w:anchor="P676" w:history="1">
        <w:r w:rsidRPr="004B6E7B">
          <w:rPr>
            <w:rFonts w:ascii="Tahoma" w:eastAsia="Times New Roman" w:hAnsi="Tahoma" w:cs="Tahoma"/>
            <w:color w:val="33A6E3"/>
            <w:sz w:val="12"/>
            <w:lang w:eastAsia="ru-RU"/>
          </w:rPr>
          <w:t>планом</w:t>
        </w:r>
      </w:hyperlink>
      <w:r w:rsidRPr="004B6E7B">
        <w:rPr>
          <w:rFonts w:ascii="Tahoma" w:eastAsia="Times New Roman" w:hAnsi="Tahoma" w:cs="Tahoma"/>
          <w:color w:val="000000"/>
          <w:sz w:val="12"/>
          <w:szCs w:val="12"/>
          <w:lang w:eastAsia="ru-RU"/>
        </w:rPr>
        <w:t>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Приложение</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к Стратегии развития малого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период до 2030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ЦЕЛЕВЫЕ ИНДИКАТОРЫ</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РЕАЛИЗАЦИИ СТРАТЕГИИ РАЗВИТИЯ МАЛОГО И СРЕДНЕГО</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ПРЕДПРИНИМАТЕЛЬСТВА В 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НА ПЕРИОД ДО 2030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2325"/>
        <w:gridCol w:w="1020"/>
        <w:gridCol w:w="1185"/>
        <w:gridCol w:w="675"/>
        <w:gridCol w:w="675"/>
        <w:gridCol w:w="675"/>
        <w:gridCol w:w="675"/>
        <w:gridCol w:w="675"/>
        <w:gridCol w:w="705"/>
      </w:tblGrid>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Показатель</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Единица измерения</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Источник информации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2014 год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2015 год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2018 год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2020 год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2025 год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2030 год</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 Единый центр поддержки малого и среднего предпринимательства</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Оборот субъектов малого и среднего предпринимательства в постоянных ценах по отношению к показателю 2014 года</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98</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118</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134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185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250</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96,9</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112</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123,5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159</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200</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11,8</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12,2</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13,5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14,4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17</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25,2</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25,6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27,3</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28,4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31,5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35</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II. Рыночные ниши для бизнеса</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5.</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Количество нестационарных торговых объектов круглогодичного размещения и мобильных торговых объектов</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тыс. единиц</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 и Минпромторга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191</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195,5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264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286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286</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6.</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Минэкономразвития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18</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25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25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25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25</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Минэкономразвития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15</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III. Технологическое развитие</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Прирост высокопроизводительных рабочих мест на малых и средних предприятиях (накопленным итогом)</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тыс. единиц</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 и Минэкономразвития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1250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1750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3000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4250</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8.</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экспорта малых и средних предприятий в общем объеме экспорта Российской Федерации</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ФТС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6, 5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9</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IV. Доступное финансирование</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9.</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Банка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18,4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17,3</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19</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22</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23</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 Предсказуемая фискальная политика</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единиц</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 и ФНС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14,1</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16,5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17,5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22,5</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 Высокое качество государственного регулирования</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11.</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единиц</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 и ФНС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38,8</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39</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42</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46</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VII. Территориальное развитие</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единиц</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Росстата и ФНС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47</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50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55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55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55</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13.</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данные Минэкономразвития России</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не менее 10</w:t>
            </w:r>
          </w:p>
        </w:tc>
      </w:tr>
      <w:tr w:rsidR="004B6E7B" w:rsidRPr="004B6E7B" w:rsidTr="004B6E7B">
        <w:trPr>
          <w:tblCellSpacing w:w="0" w:type="dxa"/>
        </w:trPr>
        <w:tc>
          <w:tcPr>
            <w:tcW w:w="90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VIII. Квалифицированные кадры</w:t>
            </w:r>
          </w:p>
        </w:tc>
      </w:tr>
      <w:tr w:rsidR="004B6E7B" w:rsidRPr="004B6E7B" w:rsidTr="004B6E7B">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14.</w:t>
            </w:r>
          </w:p>
        </w:tc>
        <w:tc>
          <w:tcPr>
            <w:tcW w:w="23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Доля граждан, планирующих открыть собственный бизнес в течение ближайших 3 лет</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процентов</w:t>
            </w:r>
          </w:p>
        </w:tc>
        <w:tc>
          <w:tcPr>
            <w:tcW w:w="1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опросные данные</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4,7</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7,5</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12,5</w:t>
            </w:r>
          </w:p>
        </w:tc>
      </w:tr>
    </w:tbl>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lastRenderedPageBreak/>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Утвержден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распоряжением Правительства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Российской Федерации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от 2 июня 2016 г. N 1083-р</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ПЛАН</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МЕРОПРИЯТИЙ ("ДОРОЖНАЯ КАРТА") ПО РЕАЛИЗАЦИИ СТРАТЕГИИ</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РАЗВИТИЯ МАЛОГО И СРЕДНЕГО ПРЕДПРИНИМАТЕЛЬСТВА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В РОССИЙСКОЙ ФЕДЕРАЦИИ НА ПЕРИОД ДО 2030 ГОДА</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4B6E7B" w:rsidRPr="004B6E7B" w:rsidTr="004B6E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Список изменяющих документов</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 ред. </w:t>
            </w:r>
            <w:hyperlink r:id="rId20" w:history="1">
              <w:r w:rsidRPr="004B6E7B">
                <w:rPr>
                  <w:rFonts w:ascii="Times New Roman" w:eastAsia="Times New Roman" w:hAnsi="Times New Roman" w:cs="Times New Roman"/>
                  <w:color w:val="33A6E3"/>
                  <w:sz w:val="12"/>
                  <w:lang w:eastAsia="ru-RU"/>
                </w:rPr>
                <w:t>распоряжения</w:t>
              </w:r>
            </w:hyperlink>
            <w:r w:rsidRPr="004B6E7B">
              <w:rPr>
                <w:rFonts w:ascii="Times New Roman" w:eastAsia="Times New Roman" w:hAnsi="Times New Roman" w:cs="Times New Roman"/>
                <w:sz w:val="12"/>
                <w:szCs w:val="12"/>
                <w:lang w:eastAsia="ru-RU"/>
              </w:rPr>
              <w:t> Правительства РФ от 30.03.2018 N 547-р)</w:t>
            </w:r>
          </w:p>
        </w:tc>
      </w:tr>
    </w:tbl>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
        <w:gridCol w:w="1881"/>
        <w:gridCol w:w="1066"/>
        <w:gridCol w:w="1736"/>
        <w:gridCol w:w="1781"/>
        <w:gridCol w:w="1091"/>
        <w:gridCol w:w="1616"/>
      </w:tblGrid>
      <w:tr w:rsidR="004B6E7B" w:rsidRPr="004B6E7B" w:rsidTr="004B6E7B">
        <w:trPr>
          <w:tblCellSpacing w:w="0" w:type="dxa"/>
        </w:trPr>
        <w:tc>
          <w:tcPr>
            <w:tcW w:w="36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Наименование мероприятия</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Вид документа</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Ответственный исполнитель</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Срок реализации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Объем дополнительного финансирования, млрд. рублей (оценка)</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Ожидаемые результаты</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 Единый центр поддержки малого и среднего предпринимательства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геомаркетинговой информационно-аналитической системы (бизнес-навигатора), направленной на:</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содействие в выборе рыночных ниш;</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предоставление доступа предпринимателей к исчерпывающей информации в отношении получения поддержки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август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уровня информированности субъектов малого и среднего предпринимательства о возможностях для развития бизнеса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Проведение информационной кампании, направленной на освещение деятельности АО "Корпорация "МСП" и реализуемых мер поддержки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один раз в полугодие, не позднее 15-го числа месяца, следующего за отчетным периодом</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уровня информированности предпринимателей о существующих мерах и программах поддержки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II. Рыночные ниши для бизнеса</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конкуренции на локальных рынках</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Внедрение стандарта развития конкуренции в субъектах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ежегодно в соответствии с </w:t>
            </w:r>
            <w:hyperlink r:id="rId21" w:history="1">
              <w:r w:rsidRPr="004B6E7B">
                <w:rPr>
                  <w:rFonts w:ascii="Times New Roman" w:eastAsia="Times New Roman" w:hAnsi="Times New Roman" w:cs="Times New Roman"/>
                  <w:color w:val="33A6E3"/>
                  <w:sz w:val="12"/>
                  <w:lang w:eastAsia="ru-RU"/>
                </w:rPr>
                <w:t>распоряжением</w:t>
              </w:r>
            </w:hyperlink>
            <w:r w:rsidRPr="004B6E7B">
              <w:rPr>
                <w:rFonts w:ascii="Times New Roman" w:eastAsia="Times New Roman" w:hAnsi="Times New Roman" w:cs="Times New Roman"/>
                <w:sz w:val="12"/>
                <w:szCs w:val="12"/>
                <w:lang w:eastAsia="ru-RU"/>
              </w:rPr>
              <w:t> Правительства Российской Федерации от 5 сентября 2015 г. N 1738-р</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внедрение стандарта развития конкуренции в 85 субъектах Российской Федерации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Стимулирование спроса на продукцию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участия малых и средних предприятий в закупках товаров, работ, услуг отдельными видами юридических лиц:</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1-й этап - обеспечение разработки и утверждения 35 конкретными заказчиками, определенными в соответствии с Федеральным </w:t>
            </w:r>
            <w:hyperlink r:id="rId22" w:history="1">
              <w:r w:rsidRPr="004B6E7B">
                <w:rPr>
                  <w:rFonts w:ascii="Times New Roman" w:eastAsia="Times New Roman" w:hAnsi="Times New Roman" w:cs="Times New Roman"/>
                  <w:color w:val="33A6E3"/>
                  <w:sz w:val="12"/>
                  <w:lang w:eastAsia="ru-RU"/>
                </w:rPr>
                <w:t>законом</w:t>
              </w:r>
            </w:hyperlink>
            <w:r w:rsidRPr="004B6E7B">
              <w:rPr>
                <w:rFonts w:ascii="Times New Roman" w:eastAsia="Times New Roman" w:hAnsi="Times New Roman" w:cs="Times New Roman"/>
                <w:sz w:val="12"/>
                <w:szCs w:val="12"/>
                <w:lang w:eastAsia="ru-RU"/>
              </w:rPr>
              <w:t>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2017 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5.</w:t>
            </w:r>
          </w:p>
        </w:tc>
        <w:tc>
          <w:tcPr>
            <w:tcW w:w="1320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Утратил силу. - </w:t>
            </w:r>
            <w:hyperlink r:id="rId23" w:history="1">
              <w:r w:rsidRPr="004B6E7B">
                <w:rPr>
                  <w:rFonts w:ascii="Times New Roman" w:eastAsia="Times New Roman" w:hAnsi="Times New Roman" w:cs="Times New Roman"/>
                  <w:color w:val="33A6E3"/>
                  <w:sz w:val="12"/>
                  <w:lang w:eastAsia="ru-RU"/>
                </w:rPr>
                <w:t>Распоряжение</w:t>
              </w:r>
            </w:hyperlink>
            <w:r w:rsidRPr="004B6E7B">
              <w:rPr>
                <w:rFonts w:ascii="Times New Roman" w:eastAsia="Times New Roman" w:hAnsi="Times New Roman" w:cs="Times New Roman"/>
                <w:sz w:val="12"/>
                <w:szCs w:val="12"/>
                <w:lang w:eastAsia="ru-RU"/>
              </w:rPr>
              <w:t> Правительства РФ от 30.03.2018 N 547-р</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6.</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август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7.</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w:t>
            </w:r>
            <w:r w:rsidRPr="004B6E7B">
              <w:rPr>
                <w:rFonts w:ascii="Times New Roman" w:eastAsia="Times New Roman" w:hAnsi="Times New Roman" w:cs="Times New Roman"/>
                <w:sz w:val="12"/>
                <w:szCs w:val="12"/>
                <w:lang w:eastAsia="ru-RU"/>
              </w:rPr>
              <w:lastRenderedPageBreak/>
              <w:t>заключаемых с отдельными видами юридических лиц</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июль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практики реализации программ партнерства между заказчиками и субъектами малого и среднего предпринимательства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8.</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возможностей доступа малых и средних предприятий к закупкам, осуществляемым в соответствии с Федеральным </w:t>
            </w:r>
            <w:hyperlink r:id="rId24" w:history="1">
              <w:r w:rsidRPr="004B6E7B">
                <w:rPr>
                  <w:rFonts w:ascii="Times New Roman" w:eastAsia="Times New Roman" w:hAnsi="Times New Roman" w:cs="Times New Roman"/>
                  <w:color w:val="33A6E3"/>
                  <w:sz w:val="12"/>
                  <w:lang w:eastAsia="ru-RU"/>
                </w:rPr>
                <w:t>законом</w:t>
              </w:r>
            </w:hyperlink>
            <w:r w:rsidRPr="004B6E7B">
              <w:rPr>
                <w:rFonts w:ascii="Times New Roman" w:eastAsia="Times New Roman" w:hAnsi="Times New Roman" w:cs="Times New Roman"/>
                <w:sz w:val="12"/>
                <w:szCs w:val="12"/>
                <w:lang w:eastAsia="ru-RU"/>
              </w:rPr>
              <w:t> "О закупках товаров, работ, услуг отдельными видами юридических лиц", путем установления исчерпывающего перечня способов закупки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ФАС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сентябрь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количества участников закупок товаров, работ, услуг отдельными видами юридических лиц</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9.</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ФАС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количества участников закупок товаров, работ, услуг отдельными видами юридических лиц</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торговли и потребительского рынка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Установление прозрачных и единообразных правил и общих принципов организации нестационарной и мобильной торговли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Минпромторг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ФАС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сентябрь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административных барьеров для развития предприятий в сфере торговли;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легализация теневой торговли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качества продукции российских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11.</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Стимулирование спроса на продукцию малых и средних предприятий на основе повышения ее качества,</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 том числе:</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подготовка концепции реализации проекта "Сделано в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Минпромторг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март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дополнительных возможностей по продвижению продукции малых и средних предприятий на российском рынке</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III. Технологическое развитие</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инфраструктуры поддержки субъектов малого и среднего предпринимательства, осуществляющих инновационную деятельность</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12.</w:t>
            </w:r>
          </w:p>
        </w:tc>
        <w:tc>
          <w:tcPr>
            <w:tcW w:w="3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hyperlink r:id="rId25" w:anchor="P1139" w:history="1">
              <w:r w:rsidRPr="004B6E7B">
                <w:rPr>
                  <w:rFonts w:ascii="Times New Roman" w:eastAsia="Times New Roman" w:hAnsi="Times New Roman" w:cs="Times New Roman"/>
                  <w:color w:val="33A6E3"/>
                  <w:sz w:val="12"/>
                  <w:lang w:eastAsia="ru-RU"/>
                </w:rPr>
                <w:t>&lt;*&gt;</w:t>
              </w:r>
            </w:hyperlink>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май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3 </w:t>
            </w:r>
            <w:hyperlink r:id="rId26" w:anchor="P1140" w:history="1">
              <w:r w:rsidRPr="004B6E7B">
                <w:rPr>
                  <w:rFonts w:ascii="Times New Roman" w:eastAsia="Times New Roman" w:hAnsi="Times New Roman" w:cs="Times New Roman"/>
                  <w:color w:val="33A6E3"/>
                  <w:sz w:val="12"/>
                  <w:lang w:eastAsia="ru-RU"/>
                </w:rPr>
                <w:t>&lt;**&gt;</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Стимулирование кооперации малых и средних предприятий и крупных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13.</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системы поддержки экспортной деятельности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14.</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Вовлечение малых и средних предприятий в мероприятия Национальной технологической инициативы</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15.</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приоритетной поддержки проектов малых и средних предприятий при реализации Национальной технологической инициативы</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ФГБУ "Фонд содействия развитию малых форм предприятий в научно-технической сфере"</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март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IV. Доступное финансирование</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Стимулирование развития кредитования</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16.</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Развитие стандартов кредитования субъектов малого и </w:t>
            </w:r>
            <w:r w:rsidRPr="004B6E7B">
              <w:rPr>
                <w:rFonts w:ascii="Times New Roman" w:eastAsia="Times New Roman" w:hAnsi="Times New Roman" w:cs="Times New Roman"/>
                <w:sz w:val="12"/>
                <w:szCs w:val="12"/>
                <w:lang w:eastAsia="ru-RU"/>
              </w:rPr>
              <w:lastRenderedPageBreak/>
              <w:t>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 xml:space="preserve">доклад в Правительство </w:t>
            </w:r>
            <w:r w:rsidRPr="004B6E7B">
              <w:rPr>
                <w:rFonts w:ascii="Times New Roman" w:eastAsia="Times New Roman" w:hAnsi="Times New Roman" w:cs="Times New Roman"/>
                <w:sz w:val="12"/>
                <w:szCs w:val="12"/>
                <w:lang w:eastAsia="ru-RU"/>
              </w:rPr>
              <w:lastRenderedPageBreak/>
              <w:t>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 xml:space="preserve">Минэкономразвития России с участием АО "Корпорация </w:t>
            </w:r>
            <w:r w:rsidRPr="004B6E7B">
              <w:rPr>
                <w:rFonts w:ascii="Times New Roman" w:eastAsia="Times New Roman" w:hAnsi="Times New Roman" w:cs="Times New Roman"/>
                <w:sz w:val="12"/>
                <w:szCs w:val="12"/>
                <w:lang w:eastAsia="ru-RU"/>
              </w:rPr>
              <w:lastRenderedPageBreak/>
              <w:t>"МСП",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Банка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август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улучшение условий кредитования малых и </w:t>
            </w:r>
            <w:r w:rsidRPr="004B6E7B">
              <w:rPr>
                <w:rFonts w:ascii="Times New Roman" w:eastAsia="Times New Roman" w:hAnsi="Times New Roman" w:cs="Times New Roman"/>
                <w:sz w:val="12"/>
                <w:szCs w:val="12"/>
                <w:lang w:eastAsia="ru-RU"/>
              </w:rPr>
              <w:lastRenderedPageBreak/>
              <w:t>средних предприятий коммерческими банками</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17.</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Введение преференциальных коэффициентов аллокации капитала под кредиты малым и средним предприятиям</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Банка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объема кредитования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18.</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максимально возможного объема финансирования, осуществляемого АО "МСП Банк" в рамках одного проекта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возможностей финансирования инвестиционных проектов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19.</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системы страхования вкладов за счет распространения ее действия на вклады микропредприятий - юридических лиц</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Банка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июль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рисков предпринимателей, связанных с взаимодействием с кредитными организациями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микрофинансирования</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20.</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"Корпорация "МСП" и гарантии АО "МСП Банк"</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ноябрь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привлечение дополнительных ресурсов на цели предоставления микрозаймов</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национальной гарантийной системы поддержки малого и среднего предпринимательства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21.</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июль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объемов кредитования субъектов малого и среднего предпринимательства с привлечением гарантийной поддержки</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22.</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гарантийной поддержки субъектов малого и среднего предпринимательства в рамках деятельности АО "Корпорация "МСП"</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ежегодно, с декабря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долгосрочного финансирования</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23.</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синдицированного кредитования:</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Банка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расширение возможностей финансирования инвестиционных проектов малых и средних предприятий</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возможности субординации залога по синдицированным кредитам</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2016 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2-й этап - внесение изменений в законодательство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рынка секьюритизации</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24.</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механизмов секьюритизации кредитов, предоставляемых малым и средним предприятиям</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Банка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объема кредитования малых и средних предприятий</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лизинга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25.</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Улучшение условий лизинга оборудования субъектами малого и среднего предпринимательства,</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 том числе:</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бухгалтерского учета лизинговых компаний;</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развитие механизмов налогового стимулирования лизинговых сделок;</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субсидирование затрат, связанных с лизингом оборудования;</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государственного учета предметов лизинга, переданных в финансовую аренду</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ноябрь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доступности лизинговых услуг для малых и средних предприятий</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26.</w:t>
            </w:r>
          </w:p>
        </w:tc>
        <w:tc>
          <w:tcPr>
            <w:tcW w:w="3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АО "Корпорация "МСП"</w:t>
            </w:r>
          </w:p>
        </w:tc>
        <w:tc>
          <w:tcPr>
            <w:tcW w:w="18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2017 г.</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10 </w:t>
            </w:r>
            <w:hyperlink r:id="rId27" w:anchor="P1140" w:history="1">
              <w:r w:rsidRPr="004B6E7B">
                <w:rPr>
                  <w:rFonts w:ascii="Times New Roman" w:eastAsia="Times New Roman" w:hAnsi="Times New Roman" w:cs="Times New Roman"/>
                  <w:color w:val="33A6E3"/>
                  <w:sz w:val="12"/>
                  <w:lang w:eastAsia="ru-RU"/>
                </w:rPr>
                <w:t>&lt;**&gt;</w:t>
              </w:r>
            </w:hyperlink>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w:t>
            </w:r>
            <w:r w:rsidRPr="004B6E7B">
              <w:rPr>
                <w:rFonts w:ascii="Times New Roman" w:eastAsia="Times New Roman" w:hAnsi="Times New Roman" w:cs="Times New Roman"/>
                <w:sz w:val="12"/>
                <w:szCs w:val="12"/>
                <w:lang w:eastAsia="ru-RU"/>
              </w:rPr>
              <w:lastRenderedPageBreak/>
              <w:t>субъектов малого и среднего предпринимательства</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акты Правительства Российской Федерации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Реализация программ субсидирования затрат субъектов малого и среднего предпринимательства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27.</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крупнейших финансово-кредитных организаций</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апрель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качества отбора проектов для цели оказания государственной поддержки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 Предсказуемая фискальная политика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28.</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Мониторинг практики применения системы налогообложения в виде единого налога на вмененный доход</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общероссийских объединений предпринимателей</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29.</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Росалкогольрегулирование</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сентябрь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 Высокое качество государственного регулирования</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Сокращение административной нагрузки на малые и средние предприятия</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30.</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Росалкогольрегулирование</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31.</w:t>
            </w:r>
          </w:p>
        </w:tc>
        <w:tc>
          <w:tcPr>
            <w:tcW w:w="3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июль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издержек предпринимателей в связи с необходимостью подтверждения статуса субъекта малого и среднего предпринимательства</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сентябрь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32.</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сентябрь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рисков при реализации инвестиционных проектов малых и средних предприятий</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Упрощение процедур доступа малых и средних предприятий к использованию объектов недвижимого имущества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33.</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Установление основных принципов участия малых и средних предприятий в приватизации государственного и муниципального имущества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ноябрь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числа малых и средних предприятий - собственников имущества</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и развитие единой информационно-сервисной инфраструктуры для малых и средних предприятий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34.</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системы информационно-консультационной поддержки малого и среднего предпринимательства на основе:</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организации предоставления государственной поддержки и услуг малым и средним предприятиям в электронной форме</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ПАО "Сбербанк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35.</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заинтересованных высших исполнительных органов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снижение издержек малых и средних предприятий в связи с прохождением административных процедур</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36.</w:t>
            </w:r>
          </w:p>
        </w:tc>
        <w:tc>
          <w:tcPr>
            <w:tcW w:w="3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Формирование сводного реестра субъектов малого и среднего предпринимательства - </w:t>
            </w:r>
            <w:r w:rsidRPr="004B6E7B">
              <w:rPr>
                <w:rFonts w:ascii="Times New Roman" w:eastAsia="Times New Roman" w:hAnsi="Times New Roman" w:cs="Times New Roman"/>
                <w:sz w:val="12"/>
                <w:szCs w:val="12"/>
                <w:lang w:eastAsia="ru-RU"/>
              </w:rPr>
              <w:lastRenderedPageBreak/>
              <w:t>получателей поддержки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 xml:space="preserve">доклад в Правительство Российской </w:t>
            </w:r>
            <w:r w:rsidRPr="004B6E7B">
              <w:rPr>
                <w:rFonts w:ascii="Times New Roman" w:eastAsia="Times New Roman" w:hAnsi="Times New Roman" w:cs="Times New Roman"/>
                <w:sz w:val="12"/>
                <w:szCs w:val="12"/>
                <w:lang w:eastAsia="ru-RU"/>
              </w:rPr>
              <w:lastRenderedPageBreak/>
              <w:t>Федерации</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АО "Корпорация "МСП"</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февраль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размещение в информационно-телекоммуникационной сети </w:t>
            </w:r>
            <w:r w:rsidRPr="004B6E7B">
              <w:rPr>
                <w:rFonts w:ascii="Times New Roman" w:eastAsia="Times New Roman" w:hAnsi="Times New Roman" w:cs="Times New Roman"/>
                <w:sz w:val="12"/>
                <w:szCs w:val="12"/>
                <w:lang w:eastAsia="ru-RU"/>
              </w:rPr>
              <w:lastRenderedPageBreak/>
              <w:t>"Интернет"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постановление Правительства Российской Федерации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37.</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Разработка концепции комплексной программы информационной поддержки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Агентство стратегических инициатив (АСИ) с участием общероссийских объединений предпринимателей</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август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координации деятельности органов власти при освещении предпринимательской тематики в медийном пространстве</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VII. Территориальное развитие</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38.</w:t>
            </w:r>
          </w:p>
        </w:tc>
        <w:tc>
          <w:tcPr>
            <w:tcW w:w="3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Минпромторг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hyperlink r:id="rId28" w:anchor="P1139" w:history="1">
              <w:r w:rsidRPr="004B6E7B">
                <w:rPr>
                  <w:rFonts w:ascii="Times New Roman" w:eastAsia="Times New Roman" w:hAnsi="Times New Roman" w:cs="Times New Roman"/>
                  <w:color w:val="33A6E3"/>
                  <w:sz w:val="12"/>
                  <w:lang w:eastAsia="ru-RU"/>
                </w:rPr>
                <w:t>&lt;*&gt;</w:t>
              </w:r>
            </w:hyperlink>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оказание поддержки не менее чем 5 процентам общего числа субъектов малого и среднего предпринимательства, ежегодно</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федеральный закон</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апрель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10 </w:t>
            </w:r>
            <w:hyperlink r:id="rId29" w:anchor="P1140" w:history="1">
              <w:r w:rsidRPr="004B6E7B">
                <w:rPr>
                  <w:rFonts w:ascii="Times New Roman" w:eastAsia="Times New Roman" w:hAnsi="Times New Roman" w:cs="Times New Roman"/>
                  <w:color w:val="33A6E3"/>
                  <w:sz w:val="12"/>
                  <w:lang w:eastAsia="ru-RU"/>
                </w:rPr>
                <w:t>&lt;**&gt;</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39.</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постановление Правительства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высшие исполнительные органы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программы поддержки, реализуемой Минэкономразвития России</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40.</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должностных лиц;</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подходов к формированию национального рейтинга инвестиционного климата в регионах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результатов работы по тиражированию лучших практик поддержки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акты Президента Российской Федерации,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акты Правительства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Минфин России с участием Агентства стратегических инициатив (АСИ),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высшие исполнительные органы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июнь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унификация требований к оценке деятельности должностных лиц, реализующих меры поддержки малого и среднего предпринимательства</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41.</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 с участием Агентства стратегических инициатив (АСИ),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 общероссийских объединений предпринимателей</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вовлечение в деятельность по тиражированию лучших практик представителей 100 процентов субъектов Российской Федерации</w:t>
            </w:r>
          </w:p>
        </w:tc>
      </w:tr>
      <w:tr w:rsidR="004B6E7B" w:rsidRPr="004B6E7B" w:rsidTr="004B6E7B">
        <w:trPr>
          <w:tblCellSpacing w:w="0" w:type="dxa"/>
        </w:trPr>
        <w:tc>
          <w:tcPr>
            <w:tcW w:w="1360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VIII. Квалифицированные кадры</w:t>
            </w:r>
          </w:p>
        </w:tc>
      </w:tr>
      <w:tr w:rsidR="004B6E7B" w:rsidRPr="004B6E7B" w:rsidTr="004B6E7B">
        <w:trPr>
          <w:tblCellSpacing w:w="0" w:type="dxa"/>
        </w:trPr>
        <w:tc>
          <w:tcPr>
            <w:tcW w:w="3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42.</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единой системы обучения и консультирования субъектов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высшие исполнительные органы государственной власти субъектов Российской Федерации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2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1-й этап - разработка обучающих программ "Азбука предпринимателя" (создание бизнеса с нуля) и "Школа предпринимательства" (развитие бизнеса)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2-й этап - обеспечение присоединения к системе обучения субъектов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B6E7B" w:rsidRPr="004B6E7B" w:rsidRDefault="004B6E7B" w:rsidP="004B6E7B">
            <w:pPr>
              <w:spacing w:after="0" w:line="240" w:lineRule="auto"/>
              <w:rPr>
                <w:rFonts w:ascii="Times New Roman" w:eastAsia="Times New Roman" w:hAnsi="Times New Roman" w:cs="Times New Roman"/>
                <w:sz w:val="12"/>
                <w:szCs w:val="12"/>
                <w:lang w:eastAsia="ru-RU"/>
              </w:rPr>
            </w:pP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43.</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Создание единого образовательного портала для субъектов малого и среднего предпринимательства</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доклад в Правительство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 с участием 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ПАО "Сбербанк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декабрь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повышение доступности образовательных услуг для начинающих и действующих предпринимателей</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44.</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Создание системы вовлечения молодежи в предпринимательскую </w:t>
            </w:r>
            <w:r w:rsidRPr="004B6E7B">
              <w:rPr>
                <w:rFonts w:ascii="Times New Roman" w:eastAsia="Times New Roman" w:hAnsi="Times New Roman" w:cs="Times New Roman"/>
                <w:sz w:val="12"/>
                <w:szCs w:val="12"/>
                <w:lang w:eastAsia="ru-RU"/>
              </w:rPr>
              <w:lastRenderedPageBreak/>
              <w:t>деятельность</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 xml:space="preserve">доклад в Правительство Российской </w:t>
            </w:r>
            <w:r w:rsidRPr="004B6E7B">
              <w:rPr>
                <w:rFonts w:ascii="Times New Roman" w:eastAsia="Times New Roman" w:hAnsi="Times New Roman" w:cs="Times New Roman"/>
                <w:sz w:val="12"/>
                <w:szCs w:val="12"/>
                <w:lang w:eastAsia="ru-RU"/>
              </w:rPr>
              <w:lastRenderedPageBreak/>
              <w:t>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Росмолодежь,</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ноябрь 2016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 xml:space="preserve">организация поддержки молодежного предпринимательства в не </w:t>
            </w:r>
            <w:r w:rsidRPr="004B6E7B">
              <w:rPr>
                <w:rFonts w:ascii="Times New Roman" w:eastAsia="Times New Roman" w:hAnsi="Times New Roman" w:cs="Times New Roman"/>
                <w:sz w:val="12"/>
                <w:szCs w:val="12"/>
                <w:lang w:eastAsia="ru-RU"/>
              </w:rPr>
              <w:lastRenderedPageBreak/>
              <w:t>менее чем 30 процентах субъектов Российской Федерации</w:t>
            </w:r>
          </w:p>
        </w:tc>
      </w:tr>
      <w:tr w:rsidR="004B6E7B" w:rsidRPr="004B6E7B" w:rsidTr="004B6E7B">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lastRenderedPageBreak/>
              <w:t>45.</w:t>
            </w:r>
          </w:p>
        </w:tc>
        <w:tc>
          <w:tcPr>
            <w:tcW w:w="3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Организационное обеспечение проведения Года предпринимательства в 2018 году</w:t>
            </w:r>
          </w:p>
        </w:tc>
        <w:tc>
          <w:tcPr>
            <w:tcW w:w="16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акты Правительства Российской Федерации</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Минэкономразвития России,</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заинтересованные федеральные органы исполнительной власти с участием АО "Корпорация "МСП",</w:t>
            </w:r>
          </w:p>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общероссийских объединений предпринимателей</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октябрь 2017 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B6E7B" w:rsidRPr="004B6E7B" w:rsidRDefault="004B6E7B" w:rsidP="004B6E7B">
            <w:pPr>
              <w:spacing w:after="0" w:line="240" w:lineRule="auto"/>
              <w:jc w:val="both"/>
              <w:rPr>
                <w:rFonts w:ascii="Times New Roman" w:eastAsia="Times New Roman" w:hAnsi="Times New Roman" w:cs="Times New Roman"/>
                <w:sz w:val="12"/>
                <w:szCs w:val="12"/>
                <w:lang w:eastAsia="ru-RU"/>
              </w:rPr>
            </w:pPr>
            <w:r w:rsidRPr="004B6E7B">
              <w:rPr>
                <w:rFonts w:ascii="Times New Roman" w:eastAsia="Times New Roman" w:hAnsi="Times New Roman" w:cs="Times New Roman"/>
                <w:sz w:val="12"/>
                <w:szCs w:val="12"/>
                <w:lang w:eastAsia="ru-RU"/>
              </w:rPr>
              <w:t>популяризация предпринимательской деятельности</w:t>
            </w:r>
          </w:p>
        </w:tc>
      </w:tr>
    </w:tbl>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 </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&lt;*&gt; Объем и источник финансирования будут определены по итогам работы в первом полугодии 2016 г.</w:t>
      </w:r>
    </w:p>
    <w:p w:rsidR="004B6E7B" w:rsidRPr="004B6E7B" w:rsidRDefault="004B6E7B" w:rsidP="004B6E7B">
      <w:pPr>
        <w:shd w:val="clear" w:color="auto" w:fill="EEEEEE"/>
        <w:spacing w:after="0" w:line="240" w:lineRule="auto"/>
        <w:jc w:val="both"/>
        <w:rPr>
          <w:rFonts w:ascii="Tahoma" w:eastAsia="Times New Roman" w:hAnsi="Tahoma" w:cs="Tahoma"/>
          <w:color w:val="000000"/>
          <w:sz w:val="12"/>
          <w:szCs w:val="12"/>
          <w:lang w:eastAsia="ru-RU"/>
        </w:rPr>
      </w:pPr>
      <w:r w:rsidRPr="004B6E7B">
        <w:rPr>
          <w:rFonts w:ascii="Tahoma" w:eastAsia="Times New Roman" w:hAnsi="Tahoma" w:cs="Tahoma"/>
          <w:color w:val="000000"/>
          <w:sz w:val="12"/>
          <w:szCs w:val="12"/>
          <w:lang w:eastAsia="ru-RU"/>
        </w:rPr>
        <w:t>&lt;**&gt; Указан объем дополнительного финансирования за счет средств федерального бюджета.</w:t>
      </w:r>
    </w:p>
    <w:p w:rsidR="00D54D52" w:rsidRPr="004B6E7B" w:rsidRDefault="00D54D52" w:rsidP="004B6E7B"/>
    <w:sectPr w:rsidR="00D54D52" w:rsidRPr="004B6E7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08FA"/>
    <w:multiLevelType w:val="multilevel"/>
    <w:tmpl w:val="4E5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6636B"/>
    <w:rsid w:val="00010BA5"/>
    <w:rsid w:val="000E4F26"/>
    <w:rsid w:val="001262F1"/>
    <w:rsid w:val="0016636B"/>
    <w:rsid w:val="00336D5B"/>
    <w:rsid w:val="003617E1"/>
    <w:rsid w:val="003A4BBB"/>
    <w:rsid w:val="003C50E0"/>
    <w:rsid w:val="004B6E7B"/>
    <w:rsid w:val="004E716E"/>
    <w:rsid w:val="00606328"/>
    <w:rsid w:val="006E4699"/>
    <w:rsid w:val="00726FD5"/>
    <w:rsid w:val="007876AE"/>
    <w:rsid w:val="008A3EBB"/>
    <w:rsid w:val="008F0045"/>
    <w:rsid w:val="00937BDE"/>
    <w:rsid w:val="00967E7E"/>
    <w:rsid w:val="009C75BB"/>
    <w:rsid w:val="009D73C7"/>
    <w:rsid w:val="00AA5B6E"/>
    <w:rsid w:val="00AF5566"/>
    <w:rsid w:val="00C728DA"/>
    <w:rsid w:val="00CB49BF"/>
    <w:rsid w:val="00D52CB3"/>
    <w:rsid w:val="00D54D52"/>
    <w:rsid w:val="00D96352"/>
    <w:rsid w:val="00E51F3D"/>
    <w:rsid w:val="00FC73F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2F1"/>
    <w:rPr>
      <w:b/>
      <w:bCs/>
    </w:rPr>
  </w:style>
  <w:style w:type="character" w:styleId="a5">
    <w:name w:val="Hyperlink"/>
    <w:basedOn w:val="a0"/>
    <w:uiPriority w:val="99"/>
    <w:semiHidden/>
    <w:unhideWhenUsed/>
    <w:rsid w:val="009D73C7"/>
    <w:rPr>
      <w:color w:val="0000FF"/>
      <w:u w:val="single"/>
    </w:rPr>
  </w:style>
  <w:style w:type="paragraph" w:styleId="a6">
    <w:name w:val="Balloon Text"/>
    <w:basedOn w:val="a"/>
    <w:link w:val="a7"/>
    <w:uiPriority w:val="99"/>
    <w:semiHidden/>
    <w:unhideWhenUsed/>
    <w:rsid w:val="00AA5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B6E"/>
    <w:rPr>
      <w:rFonts w:ascii="Tahoma" w:hAnsi="Tahoma" w:cs="Tahoma"/>
      <w:sz w:val="16"/>
      <w:szCs w:val="16"/>
    </w:rPr>
  </w:style>
  <w:style w:type="character" w:styleId="a8">
    <w:name w:val="Emphasis"/>
    <w:basedOn w:val="a0"/>
    <w:uiPriority w:val="20"/>
    <w:qFormat/>
    <w:rsid w:val="008A3EBB"/>
    <w:rPr>
      <w:i/>
      <w:iCs/>
    </w:rPr>
  </w:style>
  <w:style w:type="character" w:styleId="a9">
    <w:name w:val="FollowedHyperlink"/>
    <w:basedOn w:val="a0"/>
    <w:uiPriority w:val="99"/>
    <w:semiHidden/>
    <w:unhideWhenUsed/>
    <w:rsid w:val="004B6E7B"/>
    <w:rPr>
      <w:color w:val="800080"/>
      <w:u w:val="single"/>
    </w:rPr>
  </w:style>
</w:styles>
</file>

<file path=word/webSettings.xml><?xml version="1.0" encoding="utf-8"?>
<w:webSettings xmlns:r="http://schemas.openxmlformats.org/officeDocument/2006/relationships" xmlns:w="http://schemas.openxmlformats.org/wordprocessingml/2006/main">
  <w:divs>
    <w:div w:id="1449043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1">
          <w:marLeft w:val="0"/>
          <w:marRight w:val="0"/>
          <w:marTop w:val="0"/>
          <w:marBottom w:val="150"/>
          <w:divBdr>
            <w:top w:val="none" w:sz="0" w:space="0" w:color="auto"/>
            <w:left w:val="none" w:sz="0" w:space="0" w:color="auto"/>
            <w:bottom w:val="none" w:sz="0" w:space="0" w:color="auto"/>
            <w:right w:val="none" w:sz="0" w:space="0" w:color="auto"/>
          </w:divBdr>
        </w:div>
      </w:divsChild>
    </w:div>
    <w:div w:id="236742907">
      <w:bodyDiv w:val="1"/>
      <w:marLeft w:val="0"/>
      <w:marRight w:val="0"/>
      <w:marTop w:val="0"/>
      <w:marBottom w:val="0"/>
      <w:divBdr>
        <w:top w:val="none" w:sz="0" w:space="0" w:color="auto"/>
        <w:left w:val="none" w:sz="0" w:space="0" w:color="auto"/>
        <w:bottom w:val="none" w:sz="0" w:space="0" w:color="auto"/>
        <w:right w:val="none" w:sz="0" w:space="0" w:color="auto"/>
      </w:divBdr>
      <w:divsChild>
        <w:div w:id="1606427727">
          <w:marLeft w:val="0"/>
          <w:marRight w:val="0"/>
          <w:marTop w:val="0"/>
          <w:marBottom w:val="150"/>
          <w:divBdr>
            <w:top w:val="none" w:sz="0" w:space="0" w:color="auto"/>
            <w:left w:val="none" w:sz="0" w:space="0" w:color="auto"/>
            <w:bottom w:val="none" w:sz="0" w:space="0" w:color="auto"/>
            <w:right w:val="none" w:sz="0" w:space="0" w:color="auto"/>
          </w:divBdr>
        </w:div>
      </w:divsChild>
    </w:div>
    <w:div w:id="30909961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82">
          <w:marLeft w:val="0"/>
          <w:marRight w:val="0"/>
          <w:marTop w:val="0"/>
          <w:marBottom w:val="150"/>
          <w:divBdr>
            <w:top w:val="none" w:sz="0" w:space="0" w:color="auto"/>
            <w:left w:val="none" w:sz="0" w:space="0" w:color="auto"/>
            <w:bottom w:val="none" w:sz="0" w:space="0" w:color="auto"/>
            <w:right w:val="none" w:sz="0" w:space="0" w:color="auto"/>
          </w:divBdr>
        </w:div>
      </w:divsChild>
    </w:div>
    <w:div w:id="332798511">
      <w:bodyDiv w:val="1"/>
      <w:marLeft w:val="0"/>
      <w:marRight w:val="0"/>
      <w:marTop w:val="0"/>
      <w:marBottom w:val="0"/>
      <w:divBdr>
        <w:top w:val="none" w:sz="0" w:space="0" w:color="auto"/>
        <w:left w:val="none" w:sz="0" w:space="0" w:color="auto"/>
        <w:bottom w:val="none" w:sz="0" w:space="0" w:color="auto"/>
        <w:right w:val="none" w:sz="0" w:space="0" w:color="auto"/>
      </w:divBdr>
      <w:divsChild>
        <w:div w:id="1859419105">
          <w:marLeft w:val="0"/>
          <w:marRight w:val="0"/>
          <w:marTop w:val="0"/>
          <w:marBottom w:val="150"/>
          <w:divBdr>
            <w:top w:val="none" w:sz="0" w:space="0" w:color="auto"/>
            <w:left w:val="none" w:sz="0" w:space="0" w:color="auto"/>
            <w:bottom w:val="none" w:sz="0" w:space="0" w:color="auto"/>
            <w:right w:val="none" w:sz="0" w:space="0" w:color="auto"/>
          </w:divBdr>
        </w:div>
      </w:divsChild>
    </w:div>
    <w:div w:id="450392977">
      <w:bodyDiv w:val="1"/>
      <w:marLeft w:val="0"/>
      <w:marRight w:val="0"/>
      <w:marTop w:val="0"/>
      <w:marBottom w:val="0"/>
      <w:divBdr>
        <w:top w:val="none" w:sz="0" w:space="0" w:color="auto"/>
        <w:left w:val="none" w:sz="0" w:space="0" w:color="auto"/>
        <w:bottom w:val="none" w:sz="0" w:space="0" w:color="auto"/>
        <w:right w:val="none" w:sz="0" w:space="0" w:color="auto"/>
      </w:divBdr>
      <w:divsChild>
        <w:div w:id="578951293">
          <w:marLeft w:val="0"/>
          <w:marRight w:val="0"/>
          <w:marTop w:val="0"/>
          <w:marBottom w:val="150"/>
          <w:divBdr>
            <w:top w:val="none" w:sz="0" w:space="0" w:color="auto"/>
            <w:left w:val="none" w:sz="0" w:space="0" w:color="auto"/>
            <w:bottom w:val="none" w:sz="0" w:space="0" w:color="auto"/>
            <w:right w:val="none" w:sz="0" w:space="0" w:color="auto"/>
          </w:divBdr>
        </w:div>
      </w:divsChild>
    </w:div>
    <w:div w:id="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2124379605">
          <w:marLeft w:val="0"/>
          <w:marRight w:val="0"/>
          <w:marTop w:val="0"/>
          <w:marBottom w:val="150"/>
          <w:divBdr>
            <w:top w:val="none" w:sz="0" w:space="0" w:color="auto"/>
            <w:left w:val="none" w:sz="0" w:space="0" w:color="auto"/>
            <w:bottom w:val="none" w:sz="0" w:space="0" w:color="auto"/>
            <w:right w:val="none" w:sz="0" w:space="0" w:color="auto"/>
          </w:divBdr>
        </w:div>
      </w:divsChild>
    </w:div>
    <w:div w:id="710106642">
      <w:bodyDiv w:val="1"/>
      <w:marLeft w:val="0"/>
      <w:marRight w:val="0"/>
      <w:marTop w:val="0"/>
      <w:marBottom w:val="0"/>
      <w:divBdr>
        <w:top w:val="none" w:sz="0" w:space="0" w:color="auto"/>
        <w:left w:val="none" w:sz="0" w:space="0" w:color="auto"/>
        <w:bottom w:val="none" w:sz="0" w:space="0" w:color="auto"/>
        <w:right w:val="none" w:sz="0" w:space="0" w:color="auto"/>
      </w:divBdr>
      <w:divsChild>
        <w:div w:id="1620145355">
          <w:marLeft w:val="0"/>
          <w:marRight w:val="0"/>
          <w:marTop w:val="0"/>
          <w:marBottom w:val="150"/>
          <w:divBdr>
            <w:top w:val="none" w:sz="0" w:space="0" w:color="auto"/>
            <w:left w:val="none" w:sz="0" w:space="0" w:color="auto"/>
            <w:bottom w:val="none" w:sz="0" w:space="0" w:color="auto"/>
            <w:right w:val="none" w:sz="0" w:space="0" w:color="auto"/>
          </w:divBdr>
        </w:div>
      </w:divsChild>
    </w:div>
    <w:div w:id="961155381">
      <w:bodyDiv w:val="1"/>
      <w:marLeft w:val="0"/>
      <w:marRight w:val="0"/>
      <w:marTop w:val="0"/>
      <w:marBottom w:val="0"/>
      <w:divBdr>
        <w:top w:val="none" w:sz="0" w:space="0" w:color="auto"/>
        <w:left w:val="none" w:sz="0" w:space="0" w:color="auto"/>
        <w:bottom w:val="none" w:sz="0" w:space="0" w:color="auto"/>
        <w:right w:val="none" w:sz="0" w:space="0" w:color="auto"/>
      </w:divBdr>
      <w:divsChild>
        <w:div w:id="73431487">
          <w:marLeft w:val="0"/>
          <w:marRight w:val="0"/>
          <w:marTop w:val="0"/>
          <w:marBottom w:val="150"/>
          <w:divBdr>
            <w:top w:val="none" w:sz="0" w:space="0" w:color="auto"/>
            <w:left w:val="none" w:sz="0" w:space="0" w:color="auto"/>
            <w:bottom w:val="none" w:sz="0" w:space="0" w:color="auto"/>
            <w:right w:val="none" w:sz="0" w:space="0" w:color="auto"/>
          </w:divBdr>
        </w:div>
      </w:divsChild>
    </w:div>
    <w:div w:id="966857499">
      <w:bodyDiv w:val="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150"/>
          <w:divBdr>
            <w:top w:val="none" w:sz="0" w:space="0" w:color="auto"/>
            <w:left w:val="none" w:sz="0" w:space="0" w:color="auto"/>
            <w:bottom w:val="none" w:sz="0" w:space="0" w:color="auto"/>
            <w:right w:val="none" w:sz="0" w:space="0" w:color="auto"/>
          </w:divBdr>
        </w:div>
      </w:divsChild>
    </w:div>
    <w:div w:id="1333333782">
      <w:bodyDiv w:val="1"/>
      <w:marLeft w:val="0"/>
      <w:marRight w:val="0"/>
      <w:marTop w:val="0"/>
      <w:marBottom w:val="0"/>
      <w:divBdr>
        <w:top w:val="none" w:sz="0" w:space="0" w:color="auto"/>
        <w:left w:val="none" w:sz="0" w:space="0" w:color="auto"/>
        <w:bottom w:val="none" w:sz="0" w:space="0" w:color="auto"/>
        <w:right w:val="none" w:sz="0" w:space="0" w:color="auto"/>
      </w:divBdr>
      <w:divsChild>
        <w:div w:id="599489133">
          <w:marLeft w:val="0"/>
          <w:marRight w:val="0"/>
          <w:marTop w:val="0"/>
          <w:marBottom w:val="150"/>
          <w:divBdr>
            <w:top w:val="none" w:sz="0" w:space="0" w:color="auto"/>
            <w:left w:val="none" w:sz="0" w:space="0" w:color="auto"/>
            <w:bottom w:val="none" w:sz="0" w:space="0" w:color="auto"/>
            <w:right w:val="none" w:sz="0" w:space="0" w:color="auto"/>
          </w:divBdr>
        </w:div>
      </w:divsChild>
    </w:div>
    <w:div w:id="1604458456">
      <w:bodyDiv w:val="1"/>
      <w:marLeft w:val="0"/>
      <w:marRight w:val="0"/>
      <w:marTop w:val="0"/>
      <w:marBottom w:val="0"/>
      <w:divBdr>
        <w:top w:val="none" w:sz="0" w:space="0" w:color="auto"/>
        <w:left w:val="none" w:sz="0" w:space="0" w:color="auto"/>
        <w:bottom w:val="none" w:sz="0" w:space="0" w:color="auto"/>
        <w:right w:val="none" w:sz="0" w:space="0" w:color="auto"/>
      </w:divBdr>
      <w:divsChild>
        <w:div w:id="2057965588">
          <w:marLeft w:val="0"/>
          <w:marRight w:val="0"/>
          <w:marTop w:val="0"/>
          <w:marBottom w:val="150"/>
          <w:divBdr>
            <w:top w:val="none" w:sz="0" w:space="0" w:color="auto"/>
            <w:left w:val="none" w:sz="0" w:space="0" w:color="auto"/>
            <w:bottom w:val="none" w:sz="0" w:space="0" w:color="auto"/>
            <w:right w:val="none" w:sz="0" w:space="0" w:color="auto"/>
          </w:divBdr>
        </w:div>
      </w:divsChild>
    </w:div>
    <w:div w:id="19792580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759">
          <w:marLeft w:val="0"/>
          <w:marRight w:val="0"/>
          <w:marTop w:val="0"/>
          <w:marBottom w:val="150"/>
          <w:divBdr>
            <w:top w:val="none" w:sz="0" w:space="0" w:color="auto"/>
            <w:left w:val="none" w:sz="0" w:space="0" w:color="auto"/>
            <w:bottom w:val="none" w:sz="0" w:space="0" w:color="auto"/>
            <w:right w:val="none" w:sz="0" w:space="0" w:color="auto"/>
          </w:divBdr>
        </w:div>
      </w:divsChild>
    </w:div>
    <w:div w:id="2029404414">
      <w:bodyDiv w:val="1"/>
      <w:marLeft w:val="0"/>
      <w:marRight w:val="0"/>
      <w:marTop w:val="0"/>
      <w:marBottom w:val="0"/>
      <w:divBdr>
        <w:top w:val="none" w:sz="0" w:space="0" w:color="auto"/>
        <w:left w:val="none" w:sz="0" w:space="0" w:color="auto"/>
        <w:bottom w:val="none" w:sz="0" w:space="0" w:color="auto"/>
        <w:right w:val="none" w:sz="0" w:space="0" w:color="auto"/>
      </w:divBdr>
      <w:divsChild>
        <w:div w:id="573857488">
          <w:marLeft w:val="0"/>
          <w:marRight w:val="0"/>
          <w:marTop w:val="0"/>
          <w:marBottom w:val="150"/>
          <w:divBdr>
            <w:top w:val="none" w:sz="0" w:space="0" w:color="auto"/>
            <w:left w:val="none" w:sz="0" w:space="0" w:color="auto"/>
            <w:bottom w:val="none" w:sz="0" w:space="0" w:color="auto"/>
            <w:right w:val="none" w:sz="0" w:space="0" w:color="auto"/>
          </w:divBdr>
        </w:div>
      </w:divsChild>
    </w:div>
    <w:div w:id="2033610461">
      <w:bodyDiv w:val="1"/>
      <w:marLeft w:val="0"/>
      <w:marRight w:val="0"/>
      <w:marTop w:val="0"/>
      <w:marBottom w:val="0"/>
      <w:divBdr>
        <w:top w:val="none" w:sz="0" w:space="0" w:color="auto"/>
        <w:left w:val="none" w:sz="0" w:space="0" w:color="auto"/>
        <w:bottom w:val="none" w:sz="0" w:space="0" w:color="auto"/>
        <w:right w:val="none" w:sz="0" w:space="0" w:color="auto"/>
      </w:divBdr>
      <w:divsChild>
        <w:div w:id="44452652">
          <w:marLeft w:val="0"/>
          <w:marRight w:val="0"/>
          <w:marTop w:val="0"/>
          <w:marBottom w:val="150"/>
          <w:divBdr>
            <w:top w:val="none" w:sz="0" w:space="0" w:color="auto"/>
            <w:left w:val="none" w:sz="0" w:space="0" w:color="auto"/>
            <w:bottom w:val="none" w:sz="0" w:space="0" w:color="auto"/>
            <w:right w:val="none" w:sz="0" w:space="0" w:color="auto"/>
          </w:divBdr>
        </w:div>
      </w:divsChild>
    </w:div>
    <w:div w:id="2064600385">
      <w:bodyDiv w:val="1"/>
      <w:marLeft w:val="0"/>
      <w:marRight w:val="0"/>
      <w:marTop w:val="0"/>
      <w:marBottom w:val="0"/>
      <w:divBdr>
        <w:top w:val="none" w:sz="0" w:space="0" w:color="auto"/>
        <w:left w:val="none" w:sz="0" w:space="0" w:color="auto"/>
        <w:bottom w:val="none" w:sz="0" w:space="0" w:color="auto"/>
        <w:right w:val="none" w:sz="0" w:space="0" w:color="auto"/>
      </w:divBdr>
      <w:divsChild>
        <w:div w:id="1248533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3"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8" Type="http://schemas.openxmlformats.org/officeDocument/2006/relationships/hyperlink" Target="consultantplus://offline/ref=A854EA33B01556DB35886B29DAAAAEBAA180BED4695DBE9472E74686BF99732BF4375C2C2E2F18F53448745F2869A0CC4C5F529565FEF183b2jFI" TargetMode="External"/><Relationship Id="rId26"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3" Type="http://schemas.openxmlformats.org/officeDocument/2006/relationships/settings" Target="settings.xml"/><Relationship Id="rId21" Type="http://schemas.openxmlformats.org/officeDocument/2006/relationships/hyperlink" Target="consultantplus://offline/ref=A854EA33B01556DB35886B29DAAAAEBAA288B2DD6853BE9472E74686BF99732BE63704202F2A06F53A5D220E6Eb3jCI" TargetMode="External"/><Relationship Id="rId7"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2" Type="http://schemas.openxmlformats.org/officeDocument/2006/relationships/hyperlink" Target="consultantplus://offline/ref=A854EA33B01556DB35886B29DAAAAEBAA38ABFD66657BE9472E74686BF99732BF4375C2C257B49B1694E210B723CABD34B4150b9j3I" TargetMode="External"/><Relationship Id="rId17" Type="http://schemas.openxmlformats.org/officeDocument/2006/relationships/hyperlink" Target="consultantplus://offline/ref=A854EA33B01556DB35886B29DAAAAEBAA38CBFD46555BE9472E74686BF99732BF4375C2C2E2F18FD3C48745F2869A0CC4C5F529565FEF183b2jFI" TargetMode="External"/><Relationship Id="rId25"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2" Type="http://schemas.openxmlformats.org/officeDocument/2006/relationships/styles" Target="styles.xml"/><Relationship Id="rId16" Type="http://schemas.openxmlformats.org/officeDocument/2006/relationships/hyperlink" Target="consultantplus://offline/ref=A854EA33B01556DB35886B29DAAAAEBAA181B0D76755BE9472E74686BF99732BF4375C2C2E2F18F43A48745F2869A0CC4C5F529565FEF183b2jFI" TargetMode="External"/><Relationship Id="rId20" Type="http://schemas.openxmlformats.org/officeDocument/2006/relationships/hyperlink" Target="consultantplus://offline/ref=A854EA33B01556DB35886B29DAAAAEBAA281B2D36256BE9472E74686BF99732BF4375C2C2E2F18F53F48745F2869A0CC4C5F529565FEF183b2jFI" TargetMode="External"/><Relationship Id="rId29"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 Type="http://schemas.openxmlformats.org/officeDocument/2006/relationships/numbering" Target="numbering.xml"/><Relationship Id="rId6" Type="http://schemas.openxmlformats.org/officeDocument/2006/relationships/hyperlink" Target="consultantplus://offline/ref=A854EA33B01556DB35886B29DAAAAEBAA281B2D36256BE9472E74686BF99732BF4375C2C2E2F18F53F48745F2869A0CC4C5F529565FEF183b2jFI" TargetMode="External"/><Relationship Id="rId11" Type="http://schemas.openxmlformats.org/officeDocument/2006/relationships/hyperlink" Target="consultantplus://offline/ref=A854EA33B01556DB35886B29DAAAAEBAA288BEDD6152BE9472E74686BF99732BF4375C2C2E2F1AF43548745F2869A0CC4C5F529565FEF183b2jFI" TargetMode="External"/><Relationship Id="rId24" Type="http://schemas.openxmlformats.org/officeDocument/2006/relationships/hyperlink" Target="consultantplus://offline/ref=A854EA33B01556DB35886B29DAAAAEBAA38DB7D76454BE9472E74686BF99732BE63704202F2A06F53A5D220E6Eb3jCI" TargetMode="External"/><Relationship Id="rId5" Type="http://schemas.openxmlformats.org/officeDocument/2006/relationships/hyperlink" Target="consultantplus://offline/ref=A854EA33B01556DB35886B29DAAAAEBAA288BEDD6152BE9472E74686BF99732BF4375C2C2E2F1AF43548745F2869A0CC4C5F529565FEF183b2jFI" TargetMode="External"/><Relationship Id="rId15" Type="http://schemas.openxmlformats.org/officeDocument/2006/relationships/hyperlink" Target="consultantplus://offline/ref=A854EA33B01556DB35886B29DAAAAEBAA288BEDD6152BE9472E74686BF99732BF4375C2C2E2F1AF43548745F2869A0CC4C5F529565FEF183b2jFI" TargetMode="External"/><Relationship Id="rId23" Type="http://schemas.openxmlformats.org/officeDocument/2006/relationships/hyperlink" Target="consultantplus://offline/ref=A854EA33B01556DB35886B29DAAAAEBAA281B2D36256BE9472E74686BF99732BF4375C2C2E2F18F53F48745F2869A0CC4C5F529565FEF183b2jFI" TargetMode="External"/><Relationship Id="rId28"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0"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9"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14" Type="http://schemas.openxmlformats.org/officeDocument/2006/relationships/hyperlink" Target="consultantplus://offline/ref=A854EA33B01556DB35886B29DAAAAEBAA38CB3D56554BE9472E74686BF99732BF4375C2C2E2F18F53548745F2869A0CC4C5F529565FEF183b2jFI" TargetMode="External"/><Relationship Id="rId22" Type="http://schemas.openxmlformats.org/officeDocument/2006/relationships/hyperlink" Target="consultantplus://offline/ref=A854EA33B01556DB35886B29DAAAAEBAA38DB7D76454BE9472E74686BF99732BE63704202F2A06F53A5D220E6Eb3jCI" TargetMode="External"/><Relationship Id="rId27" Type="http://schemas.openxmlformats.org/officeDocument/2006/relationships/hyperlink" Target="file:///C:\Users\Alexis\Desktop\%D0%B4%D0%BB%D1%8F%20%D1%81%D0%B0%D0%B9%D1%82%D0%B0%20%D0%BF%D0%BE%20%D0%9C%D0%A1%D0%9F\%D0%A0%D0%B5%D0%B3%D0%B8%D0%BE%D0%BD%D0%B0%D0%BB%D1%8C%D0%BD%D0%BE%D0%B5%20%D0%B7%D0%B0%D0%BA%D0%BE%D0%BD%D0%BE%D0%B4%D0%B0%D1%82%D0%B5%D0%BB%D1%8C%D1%81%D1%82%D0%B2%D0%BE\%D1%80%D0%B0%D1%81%D0%BF%D0%BE%D1%80%D1%8F%D0%B6%D0%B5%D0%BD%D0%B8%D0%B5%20%E2%84%96%201083-%D1%80%20%D0%BE%D1%82%2002.06.2016.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16458</Words>
  <Characters>93813</Characters>
  <Application>Microsoft Office Word</Application>
  <DocSecurity>0</DocSecurity>
  <Lines>781</Lines>
  <Paragraphs>220</Paragraphs>
  <ScaleCrop>false</ScaleCrop>
  <Company>SPecialiST RePack</Company>
  <LinksUpToDate>false</LinksUpToDate>
  <CharactersWithSpaces>110051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19</cp:revision>
  <dcterms:created xsi:type="dcterms:W3CDTF">2025-03-19T11:44:00Z</dcterms:created>
  <dcterms:modified xsi:type="dcterms:W3CDTF">2025-03-19T12:42:00Z</dcterms:modified>
</cp:coreProperties>
</file>